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1136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is required to register as a sex offender based on the offense of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w:t>
      </w:r>
      <w:r>
        <w:rPr>
          <w:u w:val="single"/>
        </w:rPr>
        <w:t xml:space="preserve">43.05</w:t>
      </w:r>
      <w:r>
        <w:t xml:space="preserve"> [</w:t>
      </w:r>
      <w:r>
        <w:rPr>
          <w:strike/>
        </w:rPr>
        <w:t xml:space="preserve">43.05(a)(2)</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62.101(a), Code of Criminal Procedure, as amended by this Act, applies only to a conviction or adjudication for an offense committed on or after the effective date of this Act. </w:t>
      </w:r>
      <w:r>
        <w:t xml:space="preserve"> </w:t>
      </w:r>
      <w:r>
        <w:t xml:space="preserve">A conviction or adjudication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