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88R23966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Neave Criado, Anchía</w:t>
      </w:r>
      <w:r xml:space="preserve">
        <w:tab wTab="150" tlc="none" cTlc="0"/>
      </w:r>
      <w:r>
        <w:t xml:space="preserve">H.B.</w:t>
      </w:r>
      <w:r xml:space="preserve">
        <w:t> </w:t>
      </w:r>
      <w:r>
        <w:t xml:space="preserve">No.</w:t>
      </w:r>
      <w:r xml:space="preserve">
        <w:t> </w:t>
      </w:r>
      <w:r>
        <w:t xml:space="preserve">1138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reckless discharge of a firearm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42.12, Penal Code, is amended to read as follows:</w:t>
      </w:r>
    </w:p>
    <w:p w:rsidR="003F3435" w:rsidRDefault="0032493E">
      <w:pPr>
        <w:spacing w:line="480" w:lineRule="auto"/>
        <w:ind w:firstLine="720"/>
        <w:jc w:val="both"/>
      </w:pPr>
      <w:r>
        <w:t xml:space="preserve">Sec.</w:t>
      </w:r>
      <w:r xml:space="preserve">
        <w:t> </w:t>
      </w:r>
      <w:r>
        <w:t xml:space="preserve">42.12.</w:t>
      </w:r>
      <w:r xml:space="preserve">
        <w:t> </w:t>
      </w:r>
      <w:r xml:space="preserve">
        <w:t> </w:t>
      </w:r>
      <w:r>
        <w:rPr>
          <w:u w:val="single"/>
        </w:rPr>
        <w:t xml:space="preserve">RECKLESS</w:t>
      </w:r>
      <w:r>
        <w:t xml:space="preserve"> DISCHARGE OF FIREARM IN CERTAIN MUNICIPALITIES </w:t>
      </w:r>
      <w:r>
        <w:rPr>
          <w:u w:val="single"/>
        </w:rPr>
        <w:t xml:space="preserve">AND COUNTIES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42.12(a)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recklessly discharges a firearm</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inside the corporate limits of a municipality having a population of 100,000 or more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a population of 500,000 or more</w:t>
      </w:r>
      <w:r>
        <w:t xml:space="preserve">.</w:t>
      </w:r>
    </w:p>
    <w:p w:rsidR="003F3435" w:rsidRDefault="0032493E">
      <w:pPr>
        <w:spacing w:line="480" w:lineRule="auto"/>
        <w:ind w:firstLine="720"/>
        <w:jc w:val="both"/>
      </w:pPr>
      <w:r>
        <w:t xml:space="preserve">(d)</w:t>
      </w:r>
      <w:r xml:space="preserve">
        <w:t> </w:t>
      </w:r>
      <w:r xml:space="preserve">
        <w:t> </w:t>
      </w:r>
      <w:r>
        <w:t xml:space="preserve">Subsection (a) does not affect the authority of a </w:t>
      </w:r>
      <w:r>
        <w:rPr>
          <w:u w:val="single"/>
        </w:rPr>
        <w:t xml:space="preserve">county or</w:t>
      </w:r>
      <w:r>
        <w:t xml:space="preserve"> municipality </w:t>
      </w:r>
      <w:r>
        <w:rPr>
          <w:u w:val="single"/>
        </w:rPr>
        <w:t xml:space="preserve">under other law</w:t>
      </w:r>
      <w:r>
        <w:t xml:space="preserve"> to enact an </w:t>
      </w:r>
      <w:r>
        <w:rPr>
          <w:u w:val="single"/>
        </w:rPr>
        <w:t xml:space="preserve">order or</w:t>
      </w:r>
      <w:r>
        <w:t xml:space="preserve"> ordinance which prohibits the discharge of a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