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88R3951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Cortez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establishment of an employee grievance procedure by the Health and Human Services Commission and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531, Government Code, is amended by adding Section 531.0095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531.0095.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EMPLOYEE GRIEVANCE PROCEDURE.  (a)  The executive commissioner by rule shall establish a grievance procedure for commission employees.  The procedure must allow a commission employee to appeal an employment action taken by the commission regarding: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disciplinary action imposed on the employee,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oral or written reprimand;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demotion;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suspension;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reduction in compensation;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termination for cause and at will;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employee's compensation or working conditions, including the hours the employee is required to work.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appeal made under this section is considered to be a contested case under Chapter 2001.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40, Human Resources Code, is amended by adding Section 40.0335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40.0335.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EMPLOYEE GRIEVANCE PROCEDURE.  (a)  The commissioner by rule shall establish a grievance procedure for department employees.  The procedure must allow a department employee to appeal an employment action taken by the department regarding: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disciplinary action imposed on the employee,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oral or written reprimand;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demotion;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suspension;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reduction in compensation;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termination for cause and at will;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employee's compensation or working conditions, including the hours the employee is required to work.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appeal made under this section is considered to be a contested case under Chapter 2001,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January 1, 2024: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executive commissioner of the Health and Human Services Commission shall adopt rules necessary to implement Section 531.0095, Government Code, as added by this Act;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commissioner of the Department of Family and Protective Services shall adopt rules necessary to implement Section 40.0335, Human Resources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