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88R5647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Type A or Type B general-law municipality to change to a Type C general-law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8.021(a),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Type A general-law municipality containing [</w:t>
      </w:r>
      <w:r>
        <w:rPr>
          <w:strike/>
        </w:rPr>
        <w:t xml:space="preserve">501 to</w:t>
      </w:r>
      <w:r>
        <w:t xml:space="preserve">] 4,999 </w:t>
      </w:r>
      <w:r>
        <w:rPr>
          <w:u w:val="single"/>
        </w:rPr>
        <w:t xml:space="preserve">or fewer</w:t>
      </w:r>
      <w:r>
        <w:t xml:space="preserve"> inhabitants or a Type B general-law municipality containing [</w:t>
      </w:r>
      <w:r>
        <w:rPr>
          <w:strike/>
        </w:rPr>
        <w:t xml:space="preserve">501 to</w:t>
      </w:r>
      <w:r>
        <w:t xml:space="preserve">] 999 </w:t>
      </w:r>
      <w:r>
        <w:rPr>
          <w:u w:val="single"/>
        </w:rPr>
        <w:t xml:space="preserve">or fewer</w:t>
      </w:r>
      <w:r>
        <w:t xml:space="preserve"> inhabitants may change to a Type C general-law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