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of surplus traffic and roadwork safety equipment by the Department of Public Safety and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2175, Government Code, is amended by adding Section 2175.309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2175.309.</w:t>
      </w:r>
      <w:r>
        <w:rPr>
          <w:u w:val="single"/>
        </w:rPr>
        <w:t xml:space="preserve"> </w:t>
      </w:r>
      <w:r>
        <w:rPr>
          <w:u w:val="single"/>
        </w:rPr>
        <w:t xml:space="preserve"> </w:t>
      </w:r>
      <w:r>
        <w:rPr>
          <w:u w:val="single"/>
        </w:rPr>
        <w:t xml:space="preserve">EXCEPTION FOR CERTAIN DEPARTMENT OF PUBLIC SAFETY AND DEPARTMENT OF TRANSPORTATION SURPLUS PROPERTY.  (a)  Notwithstanding any other provision of this chapter, to support the shared mission of the Department of Public Safety and Texas Department of Transportation to ensure the safety of emergency service personnel working on or near this state's highways, the departments may directly donate or sell at a discounted rate surplus traffic and roadwork safety equipment, including lights and safety flags, to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donate or sell surplus traffic and roadwork safety equipment under this section in "as-is" condition;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make any representations or warranties as to the condition or use of traffic and roadwork safety equipment donated or sold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Revenue from any sale of equipment under this section shall be deposited, as applicable, to the credit of the Department of Public Safety or Texas Department of Transportation and may be appropriated only to the applicable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