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88R555 SGM-D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Rogers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1160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eligibility to be a candidate for, or elected or appointed to, a public elective office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141.001(a),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To be eligible to be a candidate for, or elected or appointed to, a public elective office in this state, a person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be a United States citizen;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be 18 years of age or older on the first day of the term to be filled at the election or on the date of appointment, as applicable;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have not been determined by a final judgment of a court exercising probate jurisdiction to be: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totally mentally incapacitated;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partially mentally incapacitated without the right to vote;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have not been finally convicted of a felony from which the person has not been pardoned or otherwise released from the resulting disabilities;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have resided continuously in the state for 12 months and in the territory from which the office is elected for six months immediately preceding the following date: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for a candidate whose name is to appear on a general primary election ballot, the date of the regular filing deadline for a candidate's application for a place on the ballot;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for an independent candidate, the date of the regular filing deadline for a candidate's application for a place on the ballot;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for a write-in candidate, the date of the election at which the candidate's name is written in;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for a party nominee who is nominated by any method other than by primary election, the date the nomination is made;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for an appointee to an office, the date the appointment is made;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on the date described by Subdivision (5), be registered to vote in the territory from which the office is elected;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satisfy any other eligibility requirements prescribed by law for the office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have paid all child support due and payable by the person unless: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person has made all due payments under a payment plan;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child support due is being contested or negotiated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