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88R2081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H.B.</w:t>
      </w:r>
      <w:r xml:space="preserve">
        <w:t> </w:t>
      </w:r>
      <w:r>
        <w:t xml:space="preserve">No.</w:t>
      </w:r>
      <w:r xml:space="preserve">
        <w:t> </w:t>
      </w:r>
      <w:r>
        <w:t xml:space="preserve">1168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program to provide housing vouchers to emergency medical services personnel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2306.553(a),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public purpose of the corporation is to perform activities and services that the corporation's board of directors determines will promote the public health, safety, and welfare through the provision of adequate, safe, and sanitary housing primarily for individuals and families of low, very low, and extremely low income and for persons who are eligible for loans under the home loan program provided by Section 2306.5621 </w:t>
      </w:r>
      <w:r>
        <w:rPr>
          <w:u w:val="single"/>
        </w:rPr>
        <w:t xml:space="preserve">or who are eligible for a housing voucher under Section 2306.570</w:t>
      </w:r>
      <w:r>
        <w:t xml:space="preserve">.  The activities and services shall include engaging in mortgage banking activities and lending transactions and acquiring, holding, selling, or leasing real or personal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Y, Chapter 2306, Government Code, is amended by adding Section 2306.570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2306.570.</w:t>
      </w:r>
      <w:r>
        <w:rPr>
          <w:u w:val="single"/>
        </w:rPr>
        <w:t xml:space="preserve"> </w:t>
      </w:r>
      <w:r>
        <w:rPr>
          <w:u w:val="single"/>
        </w:rPr>
        <w:t xml:space="preserve"> </w:t>
      </w:r>
      <w:r>
        <w:rPr>
          <w:u w:val="single"/>
        </w:rPr>
        <w:t xml:space="preserve">HOUSING VOUCHER PROGRAM FOR EMERGENCY MEDICAL SERVICES PERSONNEL.  (a)  In this section, "emergency medical services personnel" has the meaning assigned by Section 773.003,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corporation shall, using available resources, establish a housing voucher program in a county with a population of more than 1 million and less than 1.5 million to provide housing vouchers to emergency medical services personnel.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corporation's board of directors shall adopt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governing the program's administration;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eligibility criteria for a person to receive a housing voucher under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establishing a mechanism to determine the amount of a housing voucher provided under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prescribing any other program requirements that the board determines necessary.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corporation may accepts gifts, grants, and donations from any source to establish and operate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