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88R769 MP-F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Cole, Goodwin, Flores, Howard, Talarico,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1171</w:t>
      </w:r>
    </w:p>
    <w:p w:rsidR="003F3435" w:rsidRDefault="0032493E">
      <w:pPr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et al.</w:t>
      </w:r>
    </w:p>
    <w:p w:rsidR="003F3435" w:rsidRDefault="003F3435"/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applicability of civil service status to emergency medical services personnel in certain municipalities.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143.401(a), Local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This subchapter applies only to a municipality: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with a population of 460,000 or more that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 xml:space="preserve">
        <w:t> </w:t>
      </w:r>
      <w:r xml:space="preserve">
        <w:t> </w:t>
      </w:r>
      <w:r>
        <w:t xml:space="preserve">operates under a city manager form of government; </w:t>
      </w:r>
      <w:r>
        <w:rPr>
          <w:u w:val="single"/>
        </w:rPr>
        <w:t xml:space="preserve">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operated under a city manager form of government on the date the municipality adopted this subchapter;</w:t>
      </w:r>
      <w:r>
        <w:t xml:space="preserve">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that employs emergency medical services personnel in a municipal department other than the fire department.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1171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