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88R4832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tenant's right to terminate a residential lease following certain outages of essential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92, Property Code, is amended by adding Section 92.0521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92.0521.</w:t>
      </w:r>
      <w:r>
        <w:rPr>
          <w:u w:val="single"/>
        </w:rPr>
        <w:t xml:space="preserve"> </w:t>
      </w:r>
      <w:r>
        <w:rPr>
          <w:u w:val="single"/>
        </w:rPr>
        <w:t xml:space="preserve"> </w:t>
      </w:r>
      <w:r>
        <w:rPr>
          <w:u w:val="single"/>
        </w:rPr>
        <w:t xml:space="preserve">RIGHT TO VACATE AND AVOID LIABILITY FOLLOWING OUTAGE OF ESSENTIAL UTILITY.  (a)  In this section, "essential utility"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natural gas;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Subsection (c), a tenant of a dwelling that does not have an essential utility due to an outage caused directly or indirectly by severe weather conditions may terminate the tenant's lease, vacate the dwelling, and avoid liability for future rent and any other sums due under the lease for terminating the lease and vacating the dwelling before the end of the lease term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tenant notifies the landlord in writing of the interruption of the essential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essential utility has not been restored before 48 hours after the tenant notified the landlord;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tenant notifies the landlord in writing of the tenant's intent to immediately terminate the lease because the essential utility was not restored.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during the period a dwelling does not have an essential utility because a utility service provider intentionally interrupted provision of a utility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obligations or liability of the tenant under the lease before the lease is terminated under this section, including the liability of the tenant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delinquent, unpaid rent;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to the leased premises not caused by normal wear and tear.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92.0521, Property Code, as added by this Act, applies only to a lease agreement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