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Collier, Schatzline</w:t>
      </w:r>
      <w:r xml:space="preserve">
        <w:tab wTab="150" tlc="none" cTlc="0"/>
      </w:r>
      <w:r>
        <w:t xml:space="preserve">H.B.</w:t>
      </w:r>
      <w:r xml:space="preserve">
        <w:t> </w:t>
      </w:r>
      <w:r>
        <w:t xml:space="preserve">No.</w:t>
      </w:r>
      <w:r xml:space="preserve">
        <w:t> </w:t>
      </w:r>
      <w:r>
        <w:t xml:space="preserve">1181</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Paxton)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State Affairs; May</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1181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access to sexually explicit material on the Internet or electronic devices;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ELECTRONIC DEVICE FILTERS</w:t>
      </w:r>
    </w:p>
    <w:p w:rsidR="003F3435" w:rsidRDefault="0032493E">
      <w:pPr>
        <w:spacing w:line="480" w:lineRule="auto"/>
        <w:jc w:val="center"/>
      </w:pPr>
      <w:r>
        <w:rPr>
          <w:u w:val="single"/>
        </w:rPr>
        <w:t xml:space="preserve">SUBCHAPTER A. ELECTRONIC DEVICE FILTER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means the process of powering on an electronic device and associating the device with a new user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device" means a device with a screen that is capable of connecting to a cellular network or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material" means visual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is intended to appeal to a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regardless of whether the depiction is actual, simulated, or animated, in a patently offensive way: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sexual intercourse, bestiality, masturbation, sodomy, oral copulation, flagellation, or excretory functions or actions;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striking, manipulating, or touching of a person's nipple, breast, buttock, anus, or genitals;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use of devices, tools, instruments, structures, or other items in relation to the performance of any of the acts listed in Subparagraph (i) or (ii);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sadomasochistic abuse or lewd exhibition of a person's genitals, anus, pubic hair, or nipple;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religious, or scientific value.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"Filter" means software installed on an electronic device that, at the time a user activates the device, meets or exceeds industry standards and employs the manufacturer's most advanced, market-ready technology for preventing the device from accessing, downloading, or displaying explicit material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mobile data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Internet network, including wireless Internet;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software application owned and controlled by the device's manufacturer.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"Manufacturer"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engaged in the business of manufacturing electronic devices or holds a patent for an electronic device;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maintains a registered agent under Section 5.201, Business Organizations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"Minor" means an individual younger than 18 years of age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never been married;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not had the disabilities of minority removed for general purposes.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"Simulated" has the meaning assigned by Section 21.16, Penal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"Visual material" means any film, photograph, videotape, negative, or slide or any photographic reproduction that contains or incorporates any film, photograph, videotape, negative, or slide.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chapter does not apply to a telecommunications provider who activates an electronic device on behalf of a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ELECTRONIC DEVICE FILTER REQUIRED. </w:t>
      </w:r>
      <w:r>
        <w:rPr>
          <w:u w:val="single"/>
        </w:rPr>
        <w:t xml:space="preserve"> </w:t>
      </w:r>
      <w:r>
        <w:rPr>
          <w:u w:val="single"/>
        </w:rPr>
        <w:t xml:space="preserve">(a) </w:t>
      </w:r>
      <w:r>
        <w:rPr>
          <w:u w:val="single"/>
        </w:rPr>
        <w:t xml:space="preserve"> </w:t>
      </w:r>
      <w:r>
        <w:rPr>
          <w:u w:val="single"/>
        </w:rPr>
        <w:t xml:space="preserve">A manufacturer shall ensure that an electronic device activated in this state will, on activation, automatically enable a filter and notify the user of the device when the filter prevents the device from accessing, downloading, or displaying explicit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electronic device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the user of the device or a minor user's parent or guardian to circumvent the filter required under Subsection (a) by entering a password or access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prevent a user of the device from circumventing, modifying, removing, or uninstalling the filter without entering a password or access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VIOLATION. (a) A manufacturer violates this chapter if the manufacturer releases into the market an electronic device that, when activated in this state, does not automatically enable a filter under Section 121.003 because the device lacks the necessary software or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manufacturer does not violate this chapter if the manufacturer makes a good faith effort to provide an electronic device that automatically enables a filter under Section 121.003.</w:t>
      </w:r>
    </w:p>
    <w:p w:rsidR="003F3435" w:rsidRDefault="0032493E">
      <w:pPr>
        <w:spacing w:line="480" w:lineRule="auto"/>
        <w:jc w:val="center"/>
      </w:pPr>
      <w:r>
        <w:rPr>
          <w:u w:val="single"/>
        </w:rPr>
        <w:t xml:space="preserve">SUBCHAPTER B.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CIVIL PENALTY; INJUNCTION.  (a)  A manufacturer who knowingly violates Section 121.004(a) is liable to this state for a civil penalty in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who negligently violates Section 121.004(a) is liable to this state for a civil penalty in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in the name of the state to obtain an injunction preventing further violations of this chapter by a manufacturer or to recover a civil penalty under this section.  The prevailing party shall recover reasonable and necessary attorney's fees and costs incurred in an action brought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defendant's principal place of business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129B to read as follows:</w:t>
      </w:r>
    </w:p>
    <w:p w:rsidR="003F3435" w:rsidRDefault="0032493E">
      <w:pPr>
        <w:spacing w:line="480" w:lineRule="auto"/>
        <w:jc w:val="center"/>
      </w:pPr>
      <w:r>
        <w:rPr>
          <w:u w:val="single"/>
        </w:rPr>
        <w:t xml:space="preserve">CHAPTER 129B. </w:t>
      </w:r>
      <w:r>
        <w:rPr>
          <w:u w:val="single"/>
        </w:rPr>
        <w:t xml:space="preserve"> </w:t>
      </w:r>
      <w:r>
        <w:rPr>
          <w:u w:val="single"/>
        </w:rPr>
        <w:t xml:space="preserve">LIABILITY FOR ALLOWING MINORS TO ACCESS PORNOGRAPHIC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displays or depictions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129B.003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129B.004.</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129B.005.</w:t>
      </w:r>
      <w:r>
        <w:rPr>
          <w:u w:val="single"/>
        </w:rPr>
        <w:t xml:space="preserve"> </w:t>
      </w:r>
      <w:r>
        <w:rPr>
          <w:u w:val="single"/>
        </w:rPr>
        <w:t xml:space="preserve"> </w:t>
      </w:r>
      <w:r>
        <w:rPr>
          <w:u w:val="single"/>
        </w:rPr>
        <w:t xml:space="preserve">CIVIL PENALTY; INJUNCTION.  (a)  If the attorney general believes that an entity is knowingly violating or has knowingly violated this chapter and the action is in the public interest, the attorney general may bring an action in a Travis County district court or the district court in the county in which the principal place of business of the entity is located in this state to enjoin the violation, recover a civil penalty described by Subsection (b), and obtain other relief the court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civil penalty imposed under this section may be in an amount equal to not more than the total, if applicable,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per day that the entity operates an Internet website in violation of the age verification requirements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per instance when the entity retains identifying information in violation of Section 129B.002(b);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civil penalty under this section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economic effect of a penalty on the entity on whom the penalty will be imposed;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entity's knowledge that the act constituted a violation of this 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each manufacturer shall implement a software update to automatically enable an electronic device filter on an electronic device activated in this state as required by Chapter 121, Business &amp; Commerce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Chapter 121, Business &amp; Commerce Code, as added by 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