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1184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access to criminal history record information for use in certain research or statistical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411.083(b),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shall grant access to criminal history record information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criminal justice agencies;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noncriminal justice agencies authorized by federal statute or executive order or by state statute to receive criminal history record information;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person who is the subject of the criminal history record information;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person</w:t>
      </w:r>
      <w:r>
        <w:rPr>
          <w:u w:val="single"/>
        </w:rPr>
        <w:t xml:space="preserve">, including a research organization or public or private institution of higher education,</w:t>
      </w:r>
      <w:r>
        <w:t xml:space="preserve"> working on a research or statistical project </w:t>
      </w:r>
      <w:r>
        <w:rPr>
          <w:u w:val="single"/>
        </w:rPr>
        <w:t xml:space="preserve">that is related to the administration of criminal justice and approved by the department and</w:t>
      </w:r>
      <w:r>
        <w:t xml:space="preserve">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funded in whole or in part by </w:t>
      </w:r>
      <w:r>
        <w:rPr>
          <w:u w:val="single"/>
        </w:rPr>
        <w:t xml:space="preserve">a criminal justice grant or government</w:t>
      </w:r>
      <w:r>
        <w:t xml:space="preserve"> [</w:t>
      </w:r>
      <w:r>
        <w:rPr>
          <w:strike/>
        </w:rPr>
        <w:t xml:space="preserve">state</w:t>
      </w:r>
      <w:r>
        <w:t xml:space="preserve">] funds;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meets the requirements of Part 22, Title 28, Code of Federal Regulations[</w:t>
      </w:r>
      <w:r>
        <w:rPr>
          <w:strike/>
        </w:rPr>
        <w:t xml:space="preserve">, and is approved by the department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an individual or an agency that has a specific agreement with a criminal justice agency to provide services required for the administration of criminal justice under that agreement, if the agreement: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specifically authorizes access to information;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limits the use of information to the purposes for which it is given;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ensures the security and confidentiality of the information;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provides for sanctions if a requirement imposed under Paragraph (A), (B), or (C) is violated;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requires the individual or agency to perform the applicable services in a manner prescribed by the department;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an individual or an agency that has a specific agreement with a noncriminal justice agency to provide services related to the use of criminal history record information disseminated under this subchapter, if the agreement: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specifically authorizes access to information;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limits the use of information to the purposes for which it is given;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ensures the security and confidentiality of the information;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provides for sanctions if a requirement imposed under Paragraph (A), (B), or (C) is violated;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requires the individual or agency to perform the applicable services in a manner prescribed by the department;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county or district clerk's office;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the Office of Court Administration of the Texas Judicial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1184 was passed by the House on April 28, 2023, by the following vote:</w:t>
      </w:r>
      <w:r xml:space="preserve">
        <w:t> </w:t>
      </w:r>
      <w:r xml:space="preserve">
        <w:t> </w:t>
      </w:r>
      <w:r>
        <w:t xml:space="preserve">Yeas 122, Nays 23,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1184 was passed by the Senate on May 18, 2023, by the following vote:</w:t>
      </w:r>
      <w:r xml:space="preserve">
        <w:t> </w:t>
      </w:r>
      <w:r xml:space="preserve">
        <w:t> </w:t>
      </w:r>
      <w:r>
        <w:t xml:space="preserve">Yeas 26, Nays 5.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