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88R4121 BEE-F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Klick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1190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prescribing and ordering of Schedule II controlled substances by certain advanced practice registered nurses and physician assistants.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157.0511(a) and (b), Occupations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physician's authority to delegate the prescribing or ordering of a drug or device under this subchapter is limited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nonprescription drugs;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dangerous drugs;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controlled substances to the extent provided by </w:t>
      </w:r>
      <w:r>
        <w:rPr>
          <w:u w:val="single"/>
        </w:rPr>
        <w:t xml:space="preserve">Subsection</w:t>
      </w:r>
      <w:r>
        <w:t xml:space="preserve"> [</w:t>
      </w:r>
      <w:r>
        <w:rPr>
          <w:strike/>
        </w:rPr>
        <w:t xml:space="preserve">Subsections</w:t>
      </w:r>
      <w:r>
        <w:t xml:space="preserve">] (b) [</w:t>
      </w:r>
      <w:r>
        <w:rPr>
          <w:strike/>
        </w:rPr>
        <w:t xml:space="preserve">and (b-1)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Except as provided by Subsection (b-1), a</w:t>
      </w:r>
      <w:r>
        <w:t xml:space="preserve">] physician may delegate the prescribing or ordering of a controlled substance only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prescription is for a controlled substance listed in Schedule </w:t>
      </w:r>
      <w:r>
        <w:rPr>
          <w:u w:val="single"/>
        </w:rPr>
        <w:t xml:space="preserve">II,</w:t>
      </w:r>
      <w:r>
        <w:t xml:space="preserve"> III, IV, or V as established by the commissioner of </w:t>
      </w:r>
      <w:r>
        <w:rPr>
          <w:u w:val="single"/>
        </w:rPr>
        <w:t xml:space="preserve">state health services</w:t>
      </w:r>
      <w:r>
        <w:t xml:space="preserve"> [</w:t>
      </w:r>
      <w:r>
        <w:rPr>
          <w:strike/>
        </w:rPr>
        <w:t xml:space="preserve">the Department of State Health Services</w:t>
      </w:r>
      <w:r>
        <w:t xml:space="preserve">] under Chapter 481, Health and Safety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prescription, including </w:t>
      </w:r>
      <w:r>
        <w:rPr>
          <w:u w:val="single"/>
        </w:rPr>
        <w:t xml:space="preserve">any</w:t>
      </w:r>
      <w:r>
        <w:t xml:space="preserve"> [</w:t>
      </w:r>
      <w:r>
        <w:rPr>
          <w:strike/>
        </w:rPr>
        <w:t xml:space="preserve">a</w:t>
      </w:r>
      <w:r>
        <w:t xml:space="preserve">] refill of the prescription, is for a period not to exceed 90 days;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with regard to the refill of a prescription, the refill is authorized after consultation with the delegating physician and the consultation is noted in the patient's chart;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with regard to a prescription for a child less than two years of age, the prescription is made after consultation with the delegating physician and the consultation is noted in the patient's chart.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157.0511(b-1), Occupations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