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88R25344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or county to regulate the raising or keeping of chickens.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CHICKENS.  (a)  Notwithstanding any other law and except as provided by Subsection (b), a municipality or county may not adopt or enforce an ordinance or order that prohibits an individual from raising or keeping six or fewer chickens.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reasonable regulations on the raising or keeping of chickens that do not have the effect of prohibiting the raising or keeping of six or fewer chickens,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the number of chickens that an individual may raise or keep in excess of six;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breeding chickens;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prohibition on raising or keeping roosters;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requirement that an individual only keep chickens in the rear yard of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requirement that an individual provide fencing or shelter sufficient to contain chickens on the individual's property;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regulation related to the accumulation of animal waste that results in an offensive odor or attracts pests.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