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88R3020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H.B.</w:t>
      </w:r>
      <w:r xml:space="preserve">
        <w:t> </w:t>
      </w:r>
      <w:r>
        <w:t xml:space="preserve">No.</w:t>
      </w:r>
      <w:r xml:space="preserve">
        <w:t> </w:t>
      </w:r>
      <w:r>
        <w:t xml:space="preserve">1194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 of a public hearing on certain applications for a permit to drill an oil or gas well.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91, Natural Resources Code, is amended by adding Section 91.118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91.118.</w:t>
      </w:r>
      <w:r>
        <w:rPr>
          <w:u w:val="single"/>
        </w:rPr>
        <w:t xml:space="preserve"> </w:t>
      </w:r>
      <w:r>
        <w:rPr>
          <w:u w:val="single"/>
        </w:rPr>
        <w:t xml:space="preserve"> </w:t>
      </w:r>
      <w:r>
        <w:rPr>
          <w:u w:val="single"/>
        </w:rPr>
        <w:t xml:space="preserve">PUBLIC HEARING ON CERTAIN DRILLING PERMIT APPLICATIONS.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"Child-care facility" has the meaning assigned by Section 42.002,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"Private school" means a private school, including a parochial school,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offers a course of instruction for students in one or more grades from kindergarten through grade 12;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more than 100 students enrolled and attending courses at a single location.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require an applicant for a permit to drill a new oil or gas well to indicate on the application whether the proposed well site is located within 1,500 feet of the property line of a child-care facility, private school, primary or secondary public school, or facility that is owned by a school district and used by students enrolled in that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not grant an application for a permit to drill a new oil or gas well if the proposed well site is located within 1,500 feet of the property line of a child-care facility, private school, primary or secondary public school, or facility that is owned by a school district and used by students enrolled in that district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holds a public hearing in the county in which the proposed well site is located to receive public comments on whether granting the permit application is in the public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considers the comments received when determining whether to grant the application.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affect the authority of a political subdivision to enact, amend, or enforce an ordinance or other measure related to the drilling of new oil or gas wells.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permit application submitted to the Railroad Commission of Texas on or after the effective date of the rules adopted under Section 91.118, Natural Resources Code, as added by this Act. A permit application submitted before the effective date of the rules adopted under Section 91.118, Natural Resources Code, as added by this Act, is governed by the law in effect when the permit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