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88R4713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1196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the laws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this state or another 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political subdivision of this state or another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China;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or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