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Guillen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1208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reading and marking of a ballot by a person occupying a voting station or by the person's child.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E, Chapter 31, Election Code, is amended by adding Section 31.131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31.131.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EDUCATIONAL MATERIALS ON CHILD PARTICIPATION IN VOTING.  (a) </w:t>
      </w:r>
      <w:r>
        <w:rPr>
          <w:u w:val="single"/>
        </w:rPr>
        <w:t xml:space="preserve"> </w:t>
      </w:r>
      <w:r>
        <w:rPr>
          <w:u w:val="single"/>
        </w:rPr>
        <w:t xml:space="preserve">The secretary of state shall develop voter education materials for parents on the procedures under Section 64.002(b)  that allow a child under 14 years of age to read and mark the  ballot while accompanying the child's parent to a voting station.  The secretary shall make the voter education materials available  on the secretary's Internet website.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county officer responsible for administering elections in a county to which Section 31.125 applies shall make the voter education materials developed by the secretary of state under Subsection (a) available on the county's Internet website.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64.002(b),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child under 18 years of age may accompany the child's parent to a voting station</w:t>
      </w:r>
      <w:r>
        <w:rPr>
          <w:u w:val="single"/>
        </w:rPr>
        <w:t xml:space="preserve">, and if the child is under 14 years of age, may read or mark the ballot at the direction of the parent.  Reading or marking a ballot under this subsection does not  constitute assisting a voter for purposes of Subchapter B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1208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