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88R5618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1214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supplemental liability insurance for foster homes.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10, Insurance Code, is amended by adding Chapter 2102 to read as follows:</w:t>
      </w:r>
    </w:p>
    <w:p w:rsidR="003F3435" w:rsidRDefault="0032493E">
      <w:pPr>
        <w:spacing w:line="480" w:lineRule="auto"/>
        <w:jc w:val="center"/>
      </w:pPr>
      <w:r>
        <w:rPr>
          <w:u w:val="single"/>
        </w:rPr>
        <w:t xml:space="preserve">CHAPTER 2102.  SUPPLEMENTAL LIABILITY INSURANCE FOR FOSTER HOMES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"Foster care" has the meaning assigned by Section 101.0133,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"Foster home" means a person licensed or certified under Chapter 42, Human Resources Code, to provide substitute care for a child placed in foster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"Insurer" includes a Lloyd's plan and reciprocal or interinsurance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2102.002.</w:t>
      </w:r>
      <w:r>
        <w:rPr>
          <w:u w:val="single"/>
        </w:rPr>
        <w:t xml:space="preserve"> </w:t>
      </w:r>
      <w:r>
        <w:rPr>
          <w:u w:val="single"/>
        </w:rPr>
        <w:t xml:space="preserve"> </w:t>
      </w:r>
      <w:r>
        <w:rPr>
          <w:u w:val="single"/>
        </w:rPr>
        <w:t xml:space="preserve">OFFER OF COVERAGE REQUIRED.  An insurer may not deliver, issue for delivery, or renew in this state an insurance policy that insures a foster home for purposes of Section 42.049, Human Resources Code, unless the insurer offers the insured the opportunity to purchase supplemental foster care liability coverage that meets the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2102.003.</w:t>
      </w:r>
      <w:r>
        <w:rPr>
          <w:u w:val="single"/>
        </w:rPr>
        <w:t xml:space="preserve"> </w:t>
      </w:r>
      <w:r>
        <w:rPr>
          <w:u w:val="single"/>
        </w:rPr>
        <w:t xml:space="preserve"> </w:t>
      </w:r>
      <w:r>
        <w:rPr>
          <w:u w:val="single"/>
        </w:rPr>
        <w:t xml:space="preserve">COVERAGE REQUIREMENTS.  Supplemental foster care liability coverage offered under Section 2102.002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on behalf of the insured, amounts the insured becomes obligated to pay as damages arising from an act or omission of the insured in providing care to a child placed in foster care with the insured or an act or omission of a child placed in foster care with the insured, to the extent those damages are not covered by liability insurance maintained by the insured to meet the requirements of Section 42.049, Human Resources Code, or any other insurance maintained by the insured;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coverage of at least $10,000 for each occurrence and an aggregate coverage limit of at least $10,000 per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insurance policy delivered, issued for delivery, or renewed on or after January 1, 2024.  A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