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Metcalf, et al.</w:t>
      </w:r>
      <w:r>
        <w:t xml:space="preserve"> (Senate Sponsor</w:t>
      </w:r>
      <w:r xml:space="preserve">
        <w:t> </w:t>
      </w:r>
      <w:r>
        <w:t xml:space="preserve">-</w:t>
      </w:r>
      <w:r xml:space="preserve">
        <w:t> </w:t>
      </w:r>
      <w:r>
        <w:t xml:space="preserve">Zaffirini)</w:t>
      </w:r>
      <w:r xml:space="preserve">
        <w:tab wTab="150" tlc="none" cTlc="0"/>
      </w:r>
      <w:r>
        <w:t xml:space="preserve">H.B.</w:t>
      </w:r>
      <w:r xml:space="preserve">
        <w:t> </w:t>
      </w:r>
      <w:r>
        <w:t xml:space="preserve">No.</w:t>
      </w:r>
      <w:r xml:space="preserve">
        <w:t> </w:t>
      </w:r>
      <w:r>
        <w:t xml:space="preserve">1225</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4,</w:t>
      </w:r>
      <w:r xml:space="preserve">
        <w:t> </w:t>
      </w:r>
      <w:r>
        <w:t xml:space="preserve">2023; May</w:t>
      </w:r>
      <w:r xml:space="preserve">
        <w:t> </w:t>
      </w:r>
      <w:r>
        <w:t xml:space="preserve">5,</w:t>
      </w:r>
      <w:r xml:space="preserve">
        <w:t> </w:t>
      </w:r>
      <w:r>
        <w:t xml:space="preserve">2023, read first time and referred to Committee on Education; May</w:t>
      </w:r>
      <w:r xml:space="preserve">
        <w:t> </w:t>
      </w:r>
      <w:r>
        <w:t xml:space="preserve">12,</w:t>
      </w:r>
      <w:r xml:space="preserve">
        <w:t> </w:t>
      </w:r>
      <w:r>
        <w:t xml:space="preserve">2023, reported favorably by the following vote:</w:t>
      </w:r>
      <w:r>
        <w:t xml:space="preserve"> </w:t>
      </w:r>
      <w:r>
        <w:t xml:space="preserve"> </w:t>
      </w:r>
      <w:r>
        <w:t xml:space="preserve">Yeas 13, Nays 0; May</w:t>
      </w:r>
      <w:r xml:space="preserve">
        <w:t> </w:t>
      </w:r>
      <w:r>
        <w:t xml:space="preserve">12,</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administration of certain required assessment instruments in paper format.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39, Education Code, is amended by adding Section 39.02342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39.02342.</w:t>
      </w:r>
      <w:r>
        <w:rPr>
          <w:u w:val="single"/>
        </w:rPr>
        <w:t xml:space="preserve"> </w:t>
      </w:r>
      <w:r>
        <w:rPr>
          <w:u w:val="single"/>
        </w:rPr>
        <w:t xml:space="preserve"> </w:t>
      </w:r>
      <w:r>
        <w:rPr>
          <w:u w:val="single"/>
        </w:rPr>
        <w:t xml:space="preserve">PAPER ADMINISTRATION OF ASSESSMENT INSTRUMENTS ON REQUEST.  (a) </w:t>
      </w:r>
      <w:r>
        <w:rPr>
          <w:u w:val="single"/>
        </w:rPr>
        <w:t xml:space="preserve"> </w:t>
      </w:r>
      <w:r>
        <w:rPr>
          <w:u w:val="single"/>
        </w:rPr>
        <w:t xml:space="preserve">Subject to Subsection (c), a school district may administer an assessment instrument required under Section 39.023(a), (c), or (l) in paper format to any student whose parent, guardian, or teacher in the applicable subject area requests the assessment instrument be administered to the student in paper format.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request for the administration of an assessment instrument in paper format to a student under this section must be submitted to the school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 fall administration of an assessment instrument, not later than September 15 of the school year in which the assessment instrument will be administered;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spring administration of an assessment instrument, not later than December 1 of the school year in which the assessment instrument will be administered.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number of students enrolled at a school district who are administered an assessment instrument in paper format for any single administration under this section may not exceed three percent of the number of students enrolled in the district. </w:t>
      </w:r>
      <w:r>
        <w:rPr>
          <w:u w:val="single"/>
        </w:rPr>
        <w:t xml:space="preserve"> </w:t>
      </w:r>
      <w:r>
        <w:rPr>
          <w:u w:val="single"/>
        </w:rPr>
        <w:t xml:space="preserve">On receipt of more requests for administration of an assessment instrument than the maximum number permitted under this subsection, the district shall accept the requests in the order received until the maximum number is reached. </w:t>
      </w:r>
      <w:r>
        <w:rPr>
          <w:u w:val="single"/>
        </w:rPr>
        <w:t xml:space="preserve"> </w:t>
      </w:r>
      <w:r>
        <w:rPr>
          <w:u w:val="single"/>
        </w:rPr>
        <w:t xml:space="preserve">The limitation described by this subsection does not apply to a student whose admission, review, and dismissal committee determines that the administration of an assessment instrument in paper format is a necessary modification for the student.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