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88R3208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Metcalf, Toth,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 of a property owner or the owner's agent to receive on request a copy of the information used to appraise the owner's property for ad valorem tax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25.195, Tax Code, is amended by adding Subsections (a-1) and (c-1) and amending Subsections (d)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by a property owner or the designated agent of an owner, a chief appraiser shall provide electronically or by mail at the address designated by the property owner or agent a copy of the records, supporting data, schedules, and other material and information the owner or agent is entitled to inspect and copy under Subsection (a).  A chief appraiser may not impose a fee for providing a copy of records, supporting data, schedules, or other material or information under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by a property owner or the designated agent of an owner, a private appraisal firm shall provide electronically or by mail at the address designated by the property owner or agent a copy of the information the owner or agent is entitled to inspect and copy under Subsection (c).  A private appraisal firm may not impose a fee for providing a copy of information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appraisal firm shall make information covered by Subsection (c) available for inspection and copying by the owner or agent </w:t>
      </w:r>
      <w:r>
        <w:rPr>
          <w:u w:val="single"/>
        </w:rPr>
        <w:t xml:space="preserve">or provide the information as required by Subsection (c-1), as applicable,</w:t>
      </w:r>
      <w:r>
        <w:t xml:space="preserve"> not later than the 15th day after the date the owner or agent delivers a written request to inspect </w:t>
      </w:r>
      <w:r>
        <w:rPr>
          <w:u w:val="single"/>
        </w:rPr>
        <w:t xml:space="preserve">or receive a copy of</w:t>
      </w:r>
      <w:r>
        <w:t xml:space="preserve"> the information, unless the owner or agent agrees in writing to a later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an owner or agent states under oath in a document filed with an appraisal review board in connection with a proceeding initiated under Section 25.25 or Chapter 41 that the applicable appraisal firm has not complied with a request for inspection or copying under Subsection (c) </w:t>
      </w:r>
      <w:r>
        <w:rPr>
          <w:u w:val="single"/>
        </w:rPr>
        <w:t xml:space="preserve">or a request to receive a copy of information under Subsection (c-1)</w:t>
      </w:r>
      <w:r>
        <w:t xml:space="preserve"> related to the property that is the subject of the proceeding, the board may not conduct a hearing on the merits of any claim relating to that property and may not approve the appraisal records relating to that property until the board determines in a hearing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appraisal firm has made the information available for inspection and copying as required by Subsection (c) </w:t>
      </w:r>
      <w:r>
        <w:rPr>
          <w:u w:val="single"/>
        </w:rPr>
        <w:t xml:space="preserve">or has provided the information as required by Subsection (c-1), as applicable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owner or agent has withdrawn the motion or protest that initiated the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