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88R4717 JES-D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Brazoria</w:t>
      </w:r>
      <w:r xml:space="preserve">
        <w:tab wTab="150" tlc="none" cTlc="0"/>
      </w:r>
      <w:r>
        <w:t xml:space="preserve">H.B.</w:t>
      </w:r>
      <w:r xml:space="preserve">
        <w:t> </w:t>
      </w:r>
      <w:r>
        <w:t xml:space="preserve">No.</w:t>
      </w:r>
      <w:r xml:space="preserve">
        <w:t> </w:t>
      </w:r>
      <w:r>
        <w:t xml:space="preserve">1235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inclusion of diminished value in the minimum motor vehicle liability insurance coverage requirement.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601.072(a-1), Transportation Code, is amended to read as follows:</w:t>
      </w:r>
    </w:p>
    <w:p w:rsidR="003F3435" w:rsidRDefault="0032493E">
      <w:pPr>
        <w:spacing w:line="480" w:lineRule="auto"/>
        <w:ind w:firstLine="720"/>
        <w:jc w:val="both"/>
      </w:pPr>
      <w:r>
        <w:t xml:space="preserve">(a-1)</w:t>
      </w:r>
      <w:r xml:space="preserve">
        <w:t> </w:t>
      </w:r>
      <w:r xml:space="preserve">
        <w:t> </w:t>
      </w:r>
      <w:r>
        <w:t xml:space="preserve">Effective January 1, </w:t>
      </w:r>
      <w:r>
        <w:rPr>
          <w:u w:val="single"/>
        </w:rPr>
        <w:t xml:space="preserve">2024</w:t>
      </w:r>
      <w:r>
        <w:t xml:space="preserve"> [</w:t>
      </w:r>
      <w:r>
        <w:rPr>
          <w:strike/>
        </w:rPr>
        <w:t xml:space="preserve">2011</w:t>
      </w:r>
      <w:r>
        <w:t xml:space="preserve">], the minimum amounts of motor vehicle liability insurance coverage required to establish financial responsibility under this chapter are:</w:t>
      </w:r>
    </w:p>
    <w:p w:rsidR="003F3435" w:rsidRDefault="0032493E">
      <w:pPr>
        <w:spacing w:line="480" w:lineRule="auto"/>
        <w:ind w:firstLine="1440"/>
        <w:jc w:val="both"/>
      </w:pPr>
      <w:r>
        <w:t xml:space="preserve">(1)</w:t>
      </w:r>
      <w:r xml:space="preserve">
        <w:t> </w:t>
      </w:r>
      <w:r xml:space="preserve">
        <w:t> </w:t>
      </w:r>
      <w:r>
        <w:t xml:space="preserve">$30,000 for bodily injury to or death of one person in one accident;</w:t>
      </w:r>
    </w:p>
    <w:p w:rsidR="003F3435" w:rsidRDefault="0032493E">
      <w:pPr>
        <w:spacing w:line="480" w:lineRule="auto"/>
        <w:ind w:firstLine="1440"/>
        <w:jc w:val="both"/>
      </w:pPr>
      <w:r>
        <w:t xml:space="preserve">(2)</w:t>
      </w:r>
      <w:r xml:space="preserve">
        <w:t> </w:t>
      </w:r>
      <w:r xml:space="preserve">
        <w:t> </w:t>
      </w:r>
      <w:r>
        <w:t xml:space="preserve">$60,000 for bodily injury to or death of two or more persons in one accident, subject to the amount provided by Subdivision (1) for bodily injury to or death of one of the persons; and</w:t>
      </w:r>
    </w:p>
    <w:p w:rsidR="003F3435" w:rsidRDefault="0032493E">
      <w:pPr>
        <w:spacing w:line="480" w:lineRule="auto"/>
        <w:ind w:firstLine="1440"/>
        <w:jc w:val="both"/>
      </w:pPr>
      <w:r>
        <w:t xml:space="preserve">(3)</w:t>
      </w:r>
      <w:r xml:space="preserve">
        <w:t> </w:t>
      </w:r>
      <w:r xml:space="preserve">
        <w:t> </w:t>
      </w:r>
      <w:r>
        <w:t xml:space="preserve">$25,000 for damage to or destruction of property of others in one accident</w:t>
      </w:r>
      <w:r>
        <w:rPr>
          <w:u w:val="single"/>
        </w:rPr>
        <w:t xml:space="preserve">, including any diminution of value as a result of the accident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601.072(a-1), Transportation Code, as amended by this Act, applies only to establishment of financial responsibility under Chapter 601, Transportation Code, with an insurance policy delivered, issued for delivery, or renewed on or after January 1, 2024.  Establishment of financial responsibility with an insurance policy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