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88R4137 SGM-D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Gervin-Hawkins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1241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publication by the Railroad Commission of Texas of certain information regarding natural gas flaring.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The heading to Subchapter B, Chapter 88, Natural Resources Code, is amended to read as follows:</w:t>
      </w:r>
    </w:p>
    <w:p w:rsidR="003F3435" w:rsidRDefault="0032493E">
      <w:pPr>
        <w:spacing w:line="480" w:lineRule="auto"/>
        <w:jc w:val="center"/>
      </w:pPr>
      <w:r>
        <w:t xml:space="preserve">SUBCHAPTER B. </w:t>
      </w:r>
      <w:r>
        <w:t xml:space="preserve"> </w:t>
      </w:r>
      <w:r>
        <w:t xml:space="preserve">RULES </w:t>
      </w:r>
      <w:r>
        <w:rPr>
          <w:u w:val="single"/>
        </w:rPr>
        <w:t xml:space="preserve">AND INFORMATION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B, Chapter 88, Natural Resources Code, is amended by adding Section 88.014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88.014.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PUBLICATION OF FLARING INFORMATION.  (a) </w:t>
      </w:r>
      <w:r>
        <w:rPr>
          <w:u w:val="single"/>
        </w:rPr>
        <w:t xml:space="preserve"> </w:t>
      </w:r>
      <w:r>
        <w:rPr>
          <w:u w:val="single"/>
        </w:rPr>
        <w:t xml:space="preserve">In this section, "flaring intensity" means the amount of natural gas flared per barrel of oil produced.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On a monthly basis, the commission shall publish on the commission's Internet website: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names of the operators who report the highest 20 levels of flaring;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for each operator named in Subdivision (1), the level of flaring and flaring intensity.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On an annual basis, the commission shall publish on the commission's Internet website a report of all operators and each operator's aggregate level of flaring and flaring intensity for the year covered by the report.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commission shall base information published under this section on the most current and comprehensive information available to the commission.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1241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