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penalty for the offense of illegal voting;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second degree unless the person is convicted of an attempt, in which event it is a 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offense committed on or after the effective date of this Act.</w:t>
      </w:r>
      <w:r xml:space="preserve">
        <w:t> </w:t>
      </w:r>
      <w:r xml:space="preserve">
        <w:t> </w:t>
      </w:r>
      <w:r>
        <w:t xml:space="preserve">An offense committed before the effective date of this Act is governed by the law in effect when the offense was committed, and the former law is continued in effect for that purpose.</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1243 was passed by the House on April 28, 2023, by the following vote:</w:t>
      </w:r>
      <w:r xml:space="preserve">
        <w:t> </w:t>
      </w:r>
      <w:r xml:space="preserve">
        <w:t> </w:t>
      </w:r>
      <w:r>
        <w:t xml:space="preserve">Yeas 88, Nays 60, 1 present, not voting; that the House refused to concur in Senate amendments to H.B. No. 1243 on May 26, 2023, and requested the appointment of a conference committee to consider the differences between the two houses; and that the House adopted the conference committee report on H.B. No. 1243 on May 28, 2023, by the following vote:</w:t>
      </w:r>
      <w:r xml:space="preserve">
        <w:t> </w:t>
      </w:r>
      <w:r xml:space="preserve">
        <w:t> </w:t>
      </w:r>
      <w:r>
        <w:t xml:space="preserve">Yeas 86, Nays 56,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1243 was passed by the Senate, with amendments, on May 24, 2023, by the following vote:</w:t>
      </w:r>
      <w:r xml:space="preserve">
        <w:t> </w:t>
      </w:r>
      <w:r xml:space="preserve">
        <w:t> </w:t>
      </w:r>
      <w:r>
        <w:t xml:space="preserve">Yeas 19, Nays 11; at the request of the House, the Senate appointed a conference committee to consider the differences between the two houses; and that the Senate adopted the conference committee report on H.B. No. 1243 on May 28, 2023,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