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Smithee, Jetton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Hughes)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1255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19,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2023, read first time and referred to Committee on State Affairs; May</w:t>
      </w:r>
      <w:r xml:space="preserve">
        <w:t> </w:t>
      </w:r>
      <w:r>
        <w:t xml:space="preserve">5,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11, Nays 0; May</w:t>
      </w:r>
      <w:r xml:space="preserve">
        <w:t> </w:t>
      </w:r>
      <w:r>
        <w:t xml:space="preserve">5,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limitations periods in arbitration proceedings.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16, Civil Practice and Remedies Code, is amended by adding Section 16.073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16.073.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 OF LIMITATIONS PERIODS TO ARBITRATION.  (a) </w:t>
      </w:r>
      <w:r>
        <w:rPr>
          <w:u w:val="single"/>
        </w:rPr>
        <w:t xml:space="preserve"> </w:t>
      </w:r>
      <w:r>
        <w:rPr>
          <w:u w:val="single"/>
        </w:rPr>
        <w:t xml:space="preserve">A party may not assert a claim in an arbitration proceeding if the party could not bring suit for the claim in court due to the expiration of the applicable limitations period.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party may assert a claim in an arbitration proceeding after expiration of the applicable limitations period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party brought suit for the claim in court before the expiration of the applicable limitations period;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parties to the claim agreed to arbitrate the claim or a court ordered the parties to arbitrate the claim.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1255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