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88R3927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1259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studies and reports regarding public-private partnerships and funding for certain public projects, including transportation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P, Chapter 201, Transportation Code, is amended by adding Section 201.9931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201.9931.</w:t>
      </w:r>
      <w:r>
        <w:rPr>
          <w:u w:val="single"/>
        </w:rPr>
        <w:t xml:space="preserve"> </w:t>
      </w:r>
      <w:r>
        <w:rPr>
          <w:u w:val="single"/>
        </w:rPr>
        <w:t xml:space="preserve"> </w:t>
      </w:r>
      <w:r>
        <w:rPr>
          <w:u w:val="single"/>
        </w:rPr>
        <w:t xml:space="preserve">UNIFIED TRANSPORTATION PROGRAM FUNDING REPORT.  (a)  Not later than October 1 of each year, the department shall submit to each member of the legislature a report on the historical, current, and projected funding in the unified transportation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submitted in 2023: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the amounts in each defined program funding category for fiscal years 2004 through 2031;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actual funding amounts for fiscal years 2004 through 2023 and projected funding amounts for fiscal years 2024 through 2031;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submitted in 2024:</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 the amounts in Subdivision (1)(A) updated to reflect funding allocations made in the 2025 unified transportation program through fiscal year 2032;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actual funding amounts for fiscal years 2004 through 2024 and projected funding amounts for fiscal years 2025 through 2032;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total amount committed under the program for the year the report is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each fiscal year required to be reported, provide a breakdown by each defined program funding category: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of the amount allocated to the funding category and the funding category's percentage of the total funding amount;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the amount allocated to each department district and metropolitan planning organization,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defined funding category 12, Strategic Priority, provide an explanation of the methodology used to prioritize project funding in fiscal year 2004 and subsequent fiscal years, including an explanation of any updates or changes to the methodology;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delivered in portable document format (PDF) and a format compatible with Microsoft Excel.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comptroller of public accounts, in conjunction with the Texas Department of Transportation and the Texas Water Development Board, shall conduct a study on the economic impact and feasibility of public-private partnerships as an alternative delivery method for certain projects of the department and board, including the potential economic impact if those public-private partnerships file for bankruptcy.</w:t>
      </w:r>
    </w:p>
    <w:p w:rsidR="003F3435" w:rsidRDefault="0032493E">
      <w:pPr>
        <w:spacing w:line="480" w:lineRule="auto"/>
        <w:ind w:firstLine="720"/>
        <w:jc w:val="both"/>
      </w:pPr>
      <w:r>
        <w:t xml:space="preserve">(b)</w:t>
      </w:r>
      <w:r xml:space="preserve">
        <w:t> </w:t>
      </w:r>
      <w:r xml:space="preserve">
        <w:t> </w:t>
      </w:r>
      <w:r>
        <w:t xml:space="preserve">In conducting the study, the comptroller shall analyze each project submitted under Subsection (c) of this section and determine for each project:</w:t>
      </w:r>
    </w:p>
    <w:p w:rsidR="003F3435" w:rsidRDefault="0032493E">
      <w:pPr>
        <w:spacing w:line="480" w:lineRule="auto"/>
        <w:ind w:firstLine="1440"/>
        <w:jc w:val="both"/>
      </w:pPr>
      <w:r>
        <w:t xml:space="preserve">(1)</w:t>
      </w:r>
      <w:r xml:space="preserve">
        <w:t> </w:t>
      </w:r>
      <w:r xml:space="preserve">
        <w:t> </w:t>
      </w:r>
      <w:r>
        <w:t xml:space="preserve">the feasibility of using an alternative project delivery method, including the use of private financing;</w:t>
      </w:r>
    </w:p>
    <w:p w:rsidR="003F3435" w:rsidRDefault="0032493E">
      <w:pPr>
        <w:spacing w:line="480" w:lineRule="auto"/>
        <w:ind w:firstLine="1440"/>
        <w:jc w:val="both"/>
      </w:pPr>
      <w:r>
        <w:t xml:space="preserve">(2)</w:t>
      </w:r>
      <w:r xml:space="preserve">
        <w:t> </w:t>
      </w:r>
      <w:r xml:space="preserve">
        <w:t> </w:t>
      </w:r>
      <w:r>
        <w:t xml:space="preserve">the estimated savings to this state if the project is completed using an alternative project delivery method, including private financing;</w:t>
      </w:r>
    </w:p>
    <w:p w:rsidR="003F3435" w:rsidRDefault="0032493E">
      <w:pPr>
        <w:spacing w:line="480" w:lineRule="auto"/>
        <w:ind w:firstLine="1440"/>
        <w:jc w:val="both"/>
      </w:pPr>
      <w:r>
        <w:t xml:space="preserve">(3)</w:t>
      </w:r>
      <w:r xml:space="preserve">
        <w:t> </w:t>
      </w:r>
      <w:r xml:space="preserve">
        <w:t> </w:t>
      </w:r>
      <w:r>
        <w:t xml:space="preserve">the estimated amount of local money necessary to construct or complete the project using traditional project delivery methods compared to the money necessary for the project using an alternative project delivery method, including private financing;</w:t>
      </w:r>
    </w:p>
    <w:p w:rsidR="003F3435" w:rsidRDefault="0032493E">
      <w:pPr>
        <w:spacing w:line="480" w:lineRule="auto"/>
        <w:ind w:firstLine="1440"/>
        <w:jc w:val="both"/>
      </w:pPr>
      <w:r>
        <w:t xml:space="preserve">(4)</w:t>
      </w:r>
      <w:r xml:space="preserve">
        <w:t> </w:t>
      </w:r>
      <w:r xml:space="preserve">
        <w:t> </w:t>
      </w:r>
      <w:r>
        <w:t xml:space="preserve">the amount of additional money available to other regions of this state if the project is completed using an alternative project delivery method, including private financing; and</w:t>
      </w:r>
    </w:p>
    <w:p w:rsidR="003F3435" w:rsidRDefault="0032493E">
      <w:pPr>
        <w:spacing w:line="480" w:lineRule="auto"/>
        <w:ind w:firstLine="1440"/>
        <w:jc w:val="both"/>
      </w:pPr>
      <w:r>
        <w:t xml:space="preserve">(5)</w:t>
      </w:r>
      <w:r xml:space="preserve">
        <w:t> </w:t>
      </w:r>
      <w:r xml:space="preserve">
        <w:t> </w:t>
      </w:r>
      <w:r>
        <w:t xml:space="preserve">the estimated cost of change orders for the project if the project is completed using a public-private partnership contract.</w:t>
      </w:r>
    </w:p>
    <w:p w:rsidR="003F3435" w:rsidRDefault="0032493E">
      <w:pPr>
        <w:spacing w:line="480" w:lineRule="auto"/>
        <w:ind w:firstLine="720"/>
        <w:jc w:val="both"/>
      </w:pPr>
      <w:r>
        <w:t xml:space="preserve">(c)</w:t>
      </w:r>
      <w:r xml:space="preserve">
        <w:t> </w:t>
      </w:r>
      <w:r xml:space="preserve">
        <w:t> </w:t>
      </w:r>
      <w:r>
        <w:t xml:space="preserve">Not later than December 31, 2023:</w:t>
      </w:r>
    </w:p>
    <w:p w:rsidR="003F3435" w:rsidRDefault="0032493E">
      <w:pPr>
        <w:spacing w:line="480" w:lineRule="auto"/>
        <w:ind w:firstLine="1440"/>
        <w:jc w:val="both"/>
      </w:pPr>
      <w:r>
        <w:t xml:space="preserve">(1)</w:t>
      </w:r>
      <w:r xml:space="preserve">
        <w:t> </w:t>
      </w:r>
      <w:r xml:space="preserve">
        <w:t> </w:t>
      </w:r>
      <w:r>
        <w:t xml:space="preserve">the Texas Department of Transportation shall conduct a comprehensive review of:</w:t>
      </w:r>
    </w:p>
    <w:p w:rsidR="003F3435" w:rsidRDefault="0032493E">
      <w:pPr>
        <w:spacing w:line="480" w:lineRule="auto"/>
        <w:ind w:firstLine="2160"/>
        <w:jc w:val="both"/>
      </w:pPr>
      <w:r>
        <w:t xml:space="preserve">(A)</w:t>
      </w:r>
      <w:r xml:space="preserve">
        <w:t> </w:t>
      </w:r>
      <w:r xml:space="preserve">
        <w:t> </w:t>
      </w:r>
      <w:r>
        <w:t xml:space="preserve">all proposed road projects with a project value of $1 billion or more and submit a report of those projects to the comptroller for analysis under Subsection (b) of this section; and</w:t>
      </w:r>
    </w:p>
    <w:p w:rsidR="003F3435" w:rsidRDefault="0032493E">
      <w:pPr>
        <w:spacing w:line="480" w:lineRule="auto"/>
        <w:ind w:firstLine="2160"/>
        <w:jc w:val="both"/>
      </w:pPr>
      <w:r>
        <w:t xml:space="preserve">(B)</w:t>
      </w:r>
      <w:r xml:space="preserve">
        <w:t> </w:t>
      </w:r>
      <w:r xml:space="preserve">
        <w:t> </w:t>
      </w:r>
      <w:r>
        <w:t xml:space="preserve">the total cost to taxpayers for entering into a public-private partnership agreement, including the cost of entering into a managed lane agreement compared to the cost of adding free lanes using a cost benefit analysis; and</w:t>
      </w:r>
    </w:p>
    <w:p w:rsidR="003F3435" w:rsidRDefault="0032493E">
      <w:pPr>
        <w:spacing w:line="480" w:lineRule="auto"/>
        <w:ind w:firstLine="1440"/>
        <w:jc w:val="both"/>
      </w:pPr>
      <w:r>
        <w:t xml:space="preserve">(2)</w:t>
      </w:r>
      <w:r xml:space="preserve">
        <w:t> </w:t>
      </w:r>
      <w:r xml:space="preserve">
        <w:t> </w:t>
      </w:r>
      <w:r>
        <w:t xml:space="preserve">the Texas Water Development Board shall conduct a comprehensive review of all projects in the state water plan with an estimated project value of more than $1 billion and submit a report of those projects to the comptroller for analysis under Subsection (b) of this section.</w:t>
      </w:r>
    </w:p>
    <w:p w:rsidR="003F3435" w:rsidRDefault="0032493E">
      <w:pPr>
        <w:spacing w:line="480" w:lineRule="auto"/>
        <w:ind w:firstLine="720"/>
        <w:jc w:val="both"/>
      </w:pPr>
      <w:r>
        <w:t xml:space="preserve">(d)</w:t>
      </w:r>
      <w:r xml:space="preserve">
        <w:t> </w:t>
      </w:r>
      <w:r xml:space="preserve">
        <w:t> </w:t>
      </w:r>
      <w:r>
        <w:t xml:space="preserve">Not later than September 1, 2024, the comptroller of public accounts shall submit to the governor, the lieutenant governor, the speaker of the house of representatives, and the presiding officer of each standing committee of the legislature with jurisdiction over transportation and water matters a report on the results of the study and analysis conducted under this section and any recommendations of the comptroller relating to the study, including any statutory changes necessary.</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"Comprehensive development agreement" has the meaning assigned by Section 223.201, Transportation Code.</w:t>
      </w:r>
    </w:p>
    <w:p w:rsidR="003F3435" w:rsidRDefault="0032493E">
      <w:pPr>
        <w:spacing w:line="480" w:lineRule="auto"/>
        <w:ind w:firstLine="1440"/>
        <w:jc w:val="both"/>
      </w:pPr>
      <w:r>
        <w:t xml:space="preserve">(2)</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(3)</w:t>
      </w:r>
      <w:r xml:space="preserve">
        <w:t> </w:t>
      </w:r>
      <w:r xml:space="preserve">
        <w:t> </w:t>
      </w:r>
      <w:r>
        <w:t xml:space="preserve">"Institute" means the Texas A&amp;M Transportation Institute.</w:t>
      </w:r>
    </w:p>
    <w:p w:rsidR="003F3435" w:rsidRDefault="0032493E">
      <w:pPr>
        <w:spacing w:line="480" w:lineRule="auto"/>
        <w:ind w:firstLine="720"/>
        <w:jc w:val="both"/>
      </w:pPr>
      <w:r>
        <w:t xml:space="preserve">(b)</w:t>
      </w:r>
      <w:r xml:space="preserve">
        <w:t> </w:t>
      </w:r>
      <w:r xml:space="preserve">
        <w:t> </w:t>
      </w:r>
      <w:r>
        <w:t xml:space="preserve">The institute, in consultation with the department, shall conduct a study on comprehensive development agreements entered into for transportation projects in this state.  The study must include an analysis of:</w:t>
      </w:r>
    </w:p>
    <w:p w:rsidR="003F3435" w:rsidRDefault="0032493E">
      <w:pPr>
        <w:spacing w:line="480" w:lineRule="auto"/>
        <w:ind w:firstLine="1440"/>
        <w:jc w:val="both"/>
      </w:pPr>
      <w:r>
        <w:t xml:space="preserve">(1)</w:t>
      </w:r>
      <w:r xml:space="preserve">
        <w:t> </w:t>
      </w:r>
      <w:r xml:space="preserve">
        <w:t> </w:t>
      </w:r>
      <w:r>
        <w:t xml:space="preserve">the contract provisions in comprehensive development agreements relating to maintenance and safety; and</w:t>
      </w:r>
    </w:p>
    <w:p w:rsidR="003F3435" w:rsidRDefault="0032493E">
      <w:pPr>
        <w:spacing w:line="480" w:lineRule="auto"/>
        <w:ind w:firstLine="1440"/>
        <w:jc w:val="both"/>
      </w:pPr>
      <w:r>
        <w:t xml:space="preserve">(2)</w:t>
      </w:r>
      <w:r xml:space="preserve">
        <w:t> </w:t>
      </w:r>
      <w:r xml:space="preserve">
        <w:t> </w:t>
      </w:r>
      <w:r>
        <w:t xml:space="preserve">the responsibilities of each party to the comprehensive development agreements relating to maintenance and safety.</w:t>
      </w:r>
    </w:p>
    <w:p w:rsidR="003F3435" w:rsidRDefault="0032493E">
      <w:pPr>
        <w:spacing w:line="480" w:lineRule="auto"/>
        <w:ind w:firstLine="720"/>
        <w:jc w:val="both"/>
      </w:pPr>
      <w:r>
        <w:t xml:space="preserve">(c)</w:t>
      </w:r>
      <w:r xml:space="preserve">
        <w:t> </w:t>
      </w:r>
      <w:r xml:space="preserve">
        <w:t> </w:t>
      </w:r>
      <w:r>
        <w:t xml:space="preserve">Not later than December 1, 2024, the institute shall submit a report containing the results of the study conducted under this section to the members of the legislature.</w:t>
      </w:r>
    </w:p>
    <w:p w:rsidR="003F3435" w:rsidRDefault="0032493E">
      <w:pPr>
        <w:spacing w:line="480" w:lineRule="auto"/>
        <w:ind w:firstLine="720"/>
        <w:jc w:val="both"/>
      </w:pPr>
      <w:r>
        <w:t xml:space="preserve">(d)</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