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88R2028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deadline for an early voting ballot board to determine whether to accept voters' ballots.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65.051(a),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early voting ballot board shall verify and count provisional ballots as provided by this subchapter not later than the </w:t>
      </w:r>
      <w:r>
        <w:rPr>
          <w:u w:val="single"/>
        </w:rPr>
        <w:t xml:space="preserve">10th</w:t>
      </w:r>
      <w:r>
        <w:t xml:space="preserve"> [</w:t>
      </w:r>
      <w:r>
        <w:rPr>
          <w:strike/>
        </w:rPr>
        <w:t xml:space="preserve">ninth</w:t>
      </w:r>
      <w:r>
        <w:t xml:space="preserve">] day after the date of an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87.041, Election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early voting ballot board shall determine whether to accept mail ballots as provided by this section not later than the 10th day after the date of an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87.0431(a),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 later than the 10th day after </w:t>
      </w:r>
      <w:r>
        <w:rPr>
          <w:u w:val="single"/>
        </w:rPr>
        <w:t xml:space="preserve">the local canvass</w:t>
      </w:r>
      <w:r>
        <w:t xml:space="preserve"> [</w:t>
      </w:r>
      <w:r>
        <w:rPr>
          <w:strike/>
        </w:rPr>
        <w:t xml:space="preserve">election day</w:t>
      </w:r>
      <w:r>
        <w:t xml:space="preserve">], the presiding judge of the early voting ballot board shall deliver written notice of the reason for the rejection of a ballot to the voter at the residence address on the ballot application.  If the ballot was transmitted to the voter by e-mail under Subchapter C, Chapter 101, the presiding judge shall also provide the notice to the e-mail address to which the ballot was 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