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88R6032 JCG-D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Plesa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1282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county jailer training on interacting with veterans in the criminal justice system.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1701.310, Occupations Code, is amended by adding Subsection (g)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(g)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commission shall require a county jailer who has been licensed as a county jailer for more than one year to complete a one-time training program on interacting with veterans in the criminal justice system.  A county jailer may complete the training program as an online course.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(a)  The change in law made by this Act applies to a county jailer licensed under Chapter 1701, Occupations Code, regardless of whether the license was issued before, on, or after the effective date of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county jailer who, as of the effective date of this Act, has been licensed as a county jailer for more than one year shall complete the training program described by Section 1701.310(g), Occupations Code, as added by this Act, not later than September 1, 2025.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1282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