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1283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prescription drug formularies applicable to the Medicaid managed care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533.005(a-1), Government Code, is amended to read as follows:</w:t>
      </w:r>
    </w:p>
    <w:p w:rsidR="003F3435" w:rsidRDefault="0032493E">
      <w:pPr>
        <w:spacing w:line="480" w:lineRule="auto"/>
        <w:ind w:firstLine="720"/>
        <w:jc w:val="both"/>
      </w:pPr>
      <w:r>
        <w:t xml:space="preserve">(a-1)</w:t>
      </w:r>
      <w:r xml:space="preserve">
        <w:t> </w:t>
      </w:r>
      <w:r xml:space="preserve">
        <w:t> </w:t>
      </w:r>
      <w:r>
        <w:t xml:space="preserve">The requirements imposed by Subsections (a)(23)(A), (B), and (C) do not apply, and may not be enforced, on and after August 31, </w:t>
      </w:r>
      <w:r>
        <w:rPr>
          <w:u w:val="single"/>
        </w:rPr>
        <w:t xml:space="preserve">2033</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1283 was passed by the House on May 3, 2023, by the following vote:</w:t>
      </w:r>
      <w:r xml:space="preserve">
        <w:t> </w:t>
      </w:r>
      <w:r xml:space="preserve">
        <w:t> </w:t>
      </w:r>
      <w:r>
        <w:t xml:space="preserve">Yeas 146,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1283 was passed by the Senate on May 21,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