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Raymond, Harless, Jetton,</w:t>
      </w:r>
      <w:r xml:space="preserve">
        <w:tab wTab="150" tlc="none" cTlc="0"/>
      </w:r>
      <w:r>
        <w:t xml:space="preserve">H.B.</w:t>
      </w:r>
      <w:r xml:space="preserve">
        <w:t> </w:t>
      </w:r>
      <w:r>
        <w:t xml:space="preserve">No.</w:t>
      </w:r>
      <w:r xml:space="preserve">
        <w:t> </w:t>
      </w:r>
      <w:r>
        <w:t xml:space="preserve">1283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w:t>
      </w:r>
    </w:p>
    <w:p w:rsidR="003F3435" w:rsidRDefault="0032493E">
      <w:pPr>
        <w:spacing w:line="480" w:lineRule="auto"/>
        <w:ind w:firstLine="2160"/>
        <w:jc w:val="both"/>
      </w:pPr>
      <w:r>
        <w:t xml:space="preserve">(A)</w:t>
      </w:r>
      <w:r xml:space="preserve">
        <w:t> </w:t>
      </w:r>
      <w:r xml:space="preserve">
        <w:t> </w:t>
      </w:r>
      <w:r>
        <w:t xml:space="preserve">include acuity and risk adjustment methodologies that consider the costs of providing acute care services and long-term services and supports, including private duty nursing services, provided under the plan; and</w:t>
      </w:r>
    </w:p>
    <w:p w:rsidR="003F3435" w:rsidRDefault="0032493E">
      <w:pPr>
        <w:spacing w:line="480" w:lineRule="auto"/>
        <w:ind w:firstLine="2160"/>
        <w:jc w:val="both"/>
      </w:pPr>
      <w:r>
        <w:t xml:space="preserve">(B)</w:t>
      </w:r>
      <w:r xml:space="preserve">
        <w:t> </w:t>
      </w:r>
      <w:r xml:space="preserve">
        <w:t> </w:t>
      </w:r>
      <w:r>
        <w:t xml:space="preserve">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533.0061(a)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or, as applicable, the national core indicators adult consumer survey and the national core indicators child family survey for individuals with an intellectual or developmental disability;</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w:t>
      </w:r>
      <w:r>
        <w:rPr>
          <w:strike/>
        </w:rPr>
        <w:t xml:space="preserve">subject to Subsection (a-1),</w:t>
      </w:r>
      <w:r>
        <w:t xml:space="preserve">]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except as provided by Paragraph (L)(ii),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 except as provided by Paragraph (L)(i),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(C-1)</w:t>
      </w:r>
      <w:r xml:space="preserve">
        <w:t> </w:t>
      </w:r>
      <w:r xml:space="preserve">
        <w:t> </w:t>
      </w:r>
      <w:r>
        <w:t xml:space="preserve">that does not require a clinical, nonpreferred, or other prior authorization for any antiretroviral drug, as defined by Section 531.073, or a step therapy or other protocol, that could restrict or delay the dispensing of the drug except to minimize fraud, waste, or abuse;</w:t>
      </w:r>
    </w:p>
    <w:p w:rsidR="003F3435" w:rsidRDefault="0032493E">
      <w:pPr>
        <w:spacing w:line="480" w:lineRule="auto"/>
        <w:ind w:firstLine="2160"/>
        <w:jc w:val="both"/>
      </w:pPr>
      <w:r>
        <w:t xml:space="preserve">(C-2)</w:t>
      </w:r>
      <w:r xml:space="preserve">
        <w:t> </w:t>
      </w:r>
      <w:r xml:space="preserve">
        <w:t> </w:t>
      </w:r>
      <w:r>
        <w:t xml:space="preserve">that does not require prior authorization for a nonpreferred antipsychotic drug prescribed to an adult recipient if the requirements of Section 531.073(a-3) are met;</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 and</w:t>
      </w:r>
    </w:p>
    <w:p w:rsidR="003F3435" w:rsidRDefault="0032493E">
      <w:pPr>
        <w:spacing w:line="480" w:lineRule="auto"/>
        <w:ind w:firstLine="2160"/>
        <w:jc w:val="both"/>
      </w:pPr>
      <w:r>
        <w:t xml:space="preserve">(L)</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531.072;</w:t>
      </w:r>
    </w:p>
    <w:p w:rsidR="003F3435" w:rsidRDefault="0032493E">
      <w:pPr>
        <w:spacing w:line="480" w:lineRule="auto"/>
        <w:ind w:firstLine="2880"/>
        <w:jc w:val="both"/>
      </w:pPr>
      <w:r>
        <w:t xml:space="preserve">(ii)</w:t>
      </w:r>
      <w:r xml:space="preserve">
        <w:t> </w:t>
      </w:r>
      <w:r xml:space="preserve">
        <w:t> </w:t>
      </w:r>
      <w: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t xml:space="preserve">(iii)</w:t>
      </w:r>
      <w:r xml:space="preserve">
        <w:t> </w:t>
      </w:r>
      <w:r xml:space="preserve">
        <w:t> </w:t>
      </w:r>
      <w: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t xml:space="preserve">(iv)</w:t>
      </w:r>
      <w:r xml:space="preserve">
        <w:t> </w:t>
      </w:r>
      <w:r xml:space="preserve">
        <w:t> </w:t>
      </w:r>
      <w: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reductions;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533.005(a-1),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