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88R5155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construction standards for certain recreational vehicle parks and campgrounds.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RECREATIONAL VEHICLE PARK AND CAMPGROUND CONSTRUCTION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"governmental entity"</w:t>
      </w:r>
      <w:r>
        <w:rPr>
          <w:u w:val="single"/>
        </w:rPr>
        <w:t xml:space="preserve"> </w:t>
      </w:r>
      <w:r>
        <w:rPr>
          <w:u w:val="single"/>
        </w:rPr>
        <w:t xml:space="preserve">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APPLICABILITY.  This chapter applies only to a recreational vehicle park or campground consisting of a privately owned parcel or tract of land under the control of a person or entity, other than a governmental entity, on which sites for recreational vehicles, recreational park trailers, or other camping units are offered primarily for transient guest use by members of the public or an organization for overnight stays.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MINIMUM STANDARDS.  A recreational vehicle park or campground to which this chapter applies must comply with the National Fire Protection Association 1194, Standard for Recreational Vehicle Parks and Campgrounds, other than Section 1.1.1.</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769.004.</w:t>
      </w:r>
      <w:r>
        <w:rPr>
          <w:u w:val="single"/>
        </w:rPr>
        <w:t xml:space="preserve"> </w:t>
      </w:r>
      <w:r>
        <w:rPr>
          <w:u w:val="single"/>
        </w:rPr>
        <w:t xml:space="preserve"> </w:t>
      </w:r>
      <w:r>
        <w:rPr>
          <w:u w:val="single"/>
        </w:rPr>
        <w:t xml:space="preserve">EFFECT OF OTHER LAW.  A governmental entity may adopt a policy, rule, ordinance, or order that regulates environmental health and sanitation, electrical distribution system safety, liquefied petroleum gas storage and dispensing safety, or fire protection only if the policy, rule, ordinance, or order does not impose standards more stringent than the standards imposed under Section 769.003.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Chapter 769, Health and Safety Code, as added by this Act, a recreational vehicle park or campground to which that chapter applies operating on the effective date of this Act is not required to comply with that chapter before September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