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1287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exclusion of certain resources in determining eligibility for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w:t>
      </w:r>
      <w:r>
        <w:rPr>
          <w:u w:val="single"/>
        </w:rPr>
        <w:t xml:space="preserve"> </w:t>
      </w:r>
      <w:r>
        <w:rPr>
          <w:u w:val="single"/>
        </w:rPr>
        <w:t xml:space="preserve"> </w:t>
      </w:r>
      <w:r>
        <w:rPr>
          <w:u w:val="single"/>
        </w:rPr>
        <w:t xml:space="preserve">EXCLUSION OF CERTAIN RESOURCES IN DETERMINING SNAP ELIGIBILITY.  In determining the eligibility of an applicant for or recertifying the eligibility of a recipient of supplemental nutrition assistance program benefits, the commission may not consider as resources the value of a motor vehicle in which the applicant or recipient or a member of the applicant's or recipient's household has an ownership interest up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$22,500 for the first vehicle;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$8,700 for each additional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determination of eligibility, including an initial determination of eligibility, a determination of eligibility based on a reported change submitted to the Health and Human Services Commission, or a recertification of eligibility, of a person for the supplemental nutrition assistance program under Chapter 33, Human Resources Code, that is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1287 was passed by the House on April 18, 2023, by the following vote:</w:t>
      </w:r>
      <w:r xml:space="preserve">
        <w:t> </w:t>
      </w:r>
      <w:r xml:space="preserve">
        <w:t> </w:t>
      </w:r>
      <w:r>
        <w:t xml:space="preserve">Yeas 108, Nays 38, 1 present, not voting; and that the House concurred in Senate amendments to H.B. No. 1287 on May 26, 2023, by the following vote:</w:t>
      </w:r>
      <w:r xml:space="preserve">
        <w:t> </w:t>
      </w:r>
      <w:r xml:space="preserve">
        <w:t> </w:t>
      </w:r>
      <w:r>
        <w:t xml:space="preserve">Yeas 108, Nays 28,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1287 was passed by the Senate, with amendments, on May 24,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