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88R2233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1298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menstrual disorders education and informational materials for public school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28, Education Code, is amended by adding Section 28.0044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28.0044.</w:t>
      </w:r>
      <w:r>
        <w:rPr>
          <w:u w:val="single"/>
        </w:rPr>
        <w:t xml:space="preserve"> </w:t>
      </w:r>
      <w:r>
        <w:rPr>
          <w:u w:val="single"/>
        </w:rPr>
        <w:t xml:space="preserve"> </w:t>
      </w:r>
      <w:r>
        <w:rPr>
          <w:u w:val="single"/>
        </w:rPr>
        <w:t xml:space="preserve">MENSTRUAL DISORDERS EDUCATION AND INFORMATIONAL MATERIALS.  (a)  In this section, "age-appropriate" means suitable to particular ages or age groups of children or adolescents, based on developing cognitive, emotional, and behavioral capacity typical for the age or age group.</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may provide to students education and informational materials regarding menstrual disorders at grade levels and in courses considered appropriate by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Board of Education by rule shall adopt a list of age-appropriate informational materials regarding menstrual disorders and symptoms of menstrual disorders.  The materials must include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timing, signs, and symptoms of endometriosis and other menstrual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importance of menstrual health and the impact of menstrual health on a person's physical and emotional well-being, social interactions, and academic performance;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basic statistics on endometriosis and other menstrual disorders;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best practices regarding methods to advocate for one's own health care;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basic treatment options for endometriosis and other menstrual disorders and recommendations for follow-up care from a health care provider.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Board of Education shall make available to a school district on request any informational materials included on the list adopted under Subsection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