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1302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Natural Resources &amp; Economic Development;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6, Nays 3;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1302</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inspections and examinations by the Railroad Commission of Texas of certain sites and facilities conducted using unmanned aircraft.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 the United States military;</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accident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accident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w:t>
      </w:r>
      <w:r>
        <w:rPr>
          <w:strike/>
        </w:rPr>
        <w:t xml:space="preserve">or</w:t>
      </w:r>
      <w:r>
        <w:t xml:space="preserve">]</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r>
        <w:rPr>
          <w:u w:val="single"/>
        </w:rPr>
        <w:t xml:space="preserve">;</w:t>
      </w:r>
      <w:r>
        <w:rPr>
          <w:u w:val="single"/>
        </w:rPr>
        <w:t xml:space="preserve"> </w:t>
      </w:r>
      <w:r>
        <w:rPr>
          <w:u w:val="single"/>
        </w:rPr>
        <w:t xml:space="preserve"> </w:t>
      </w:r>
      <w:r>
        <w:rPr>
          <w:u w:val="single"/>
        </w:rPr>
        <w:t xml:space="preserve">or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if the image is captured by the Railroad Commission of Texas or an agent, servant, or employee of the commission in connection with the inspection and examination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oil or gas site or facility, including a well, tank, or disposal or injection site;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pipeline facility;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surface mining site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88.091, Natural Resources Code, is amended to read as follows:</w:t>
      </w:r>
    </w:p>
    <w:p w:rsidR="003F3435" w:rsidRDefault="0032493E">
      <w:pPr>
        <w:spacing w:line="480" w:lineRule="auto"/>
        <w:ind w:firstLine="720"/>
        <w:jc w:val="both"/>
      </w:pPr>
      <w:r>
        <w:t xml:space="preserve">Sec.</w:t>
      </w:r>
      <w:r xml:space="preserve">
        <w:t> </w:t>
      </w:r>
      <w:r>
        <w:t xml:space="preserve">88.091.</w:t>
      </w:r>
      <w:r xml:space="preserve">
        <w:t> </w:t>
      </w:r>
      <w:r xml:space="preserve">
        <w:t> </w:t>
      </w:r>
      <w:r>
        <w:t xml:space="preserve">ACCESS TO PROPERTY AND RECORDS. </w:t>
      </w:r>
      <w:r>
        <w:rPr>
          <w:u w:val="single"/>
        </w:rPr>
        <w:t xml:space="preserve">(a)</w:t>
      </w:r>
      <w:r>
        <w:t xml:space="preserve"> The governmental agency shall have access at all times to:</w:t>
      </w:r>
    </w:p>
    <w:p w:rsidR="003F3435" w:rsidRDefault="0032493E">
      <w:pPr>
        <w:spacing w:line="480" w:lineRule="auto"/>
        <w:ind w:firstLine="1440"/>
        <w:jc w:val="both"/>
      </w:pPr>
      <w:r>
        <w:t xml:space="preserve">(1)</w:t>
      </w:r>
      <w:r xml:space="preserve">
        <w:t> </w:t>
      </w:r>
      <w:r xml:space="preserve">
        <w:t> </w:t>
      </w:r>
      <w:r>
        <w:t xml:space="preserve">the oil property of all persons for inspection and examination</w:t>
      </w:r>
      <w:r>
        <w:rPr>
          <w:u w:val="single"/>
        </w:rPr>
        <w:t xml:space="preserve">, including for inspection and examination by unmanned aircraft</w:t>
      </w:r>
      <w:r>
        <w:t xml:space="preserve">; and</w:t>
      </w:r>
    </w:p>
    <w:p w:rsidR="003F3435" w:rsidRDefault="0032493E">
      <w:pPr>
        <w:spacing w:line="480" w:lineRule="auto"/>
        <w:ind w:firstLine="1440"/>
        <w:jc w:val="both"/>
      </w:pPr>
      <w:r>
        <w:t xml:space="preserve">(2)</w:t>
      </w:r>
      <w:r xml:space="preserve">
        <w:t> </w:t>
      </w:r>
      <w:r xml:space="preserve">
        <w:t> </w:t>
      </w:r>
      <w:r>
        <w:t xml:space="preserve">the records of all these persons for inspection, examination, and audit.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governmental agency shall provide notice to the operator of the property before the governmental agency uses unmanned aircraft for the inspection and examination of the property. On receiving the notice, the operator of the property shall make a good faith effort to provide notice to the owner of the property,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