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1317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required or permitted under the Property Tax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Tax Code, is amended by adding Section 1.0851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1.0851.</w:t>
      </w:r>
      <w:r>
        <w:rPr>
          <w:u w:val="single"/>
        </w:rPr>
        <w:t xml:space="preserve"> </w:t>
      </w:r>
      <w:r>
        <w:rPr>
          <w:u w:val="single"/>
        </w:rPr>
        <w:t xml:space="preserve"> </w:t>
      </w:r>
      <w:r>
        <w:rPr>
          <w:u w:val="single"/>
        </w:rPr>
        <w:t xml:space="preserve">ELECTRONIC DELIVERY OF COMMUNICATION ELECTION  (a)  Notwithstanding any other provision in this title, a communication that is required or permitted by this title to be delivered between a tax official and a property owner as defined in subsection (o) shall be delivered electronically if the property owner elects in writing on a form prescribed by the comptroller to exchange communications with the tax official electronically.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 official shall establish a procedure that allows  a property owner to make the election described by Subsection (a) of this section.  The procedure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communications will be exchanged between the official and the property owner or person designated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that will be used to confirm the delivery of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under Subsection (a) of this section by a property owner remains in effect until rescinded in writing by the property owner.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 official may not charge a fee to accept a communication delivered electronically to the official.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 official may require a property owner who elects to exchange communications electronically to provide an e-mail address or other relevant electronic communication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tax official shall prominently display the information necessary for proper electronic delivery of communications to the official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communication sent by the official to a property owner that person designated by the owner to submit a communication to the official.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electronic delivery of any communication by a tax official to a property owner is effective on delivery by the tax official.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electronic delivery of a communication by a property owner to a tax official is timely if the communication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communication is due.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tax official may select the medium, format, content, and method to be used by the tax official and a property owner to exchange communications electronically from among those prescribed by the comptroller under Subsection(n).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property owner who elects to exchange communications electronically with a tax official under this section and who has not rescinded the election shall notify the tax official of a change in the e-mail address provided by the property owner before the first April 1 that occurs following the change.  If notification is not received by the tax official before that date, until notification is received, any communications delivered electronically to the property owner are considered to be timely delivered.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electronic signature that is included in any communication delivered electronically under this section is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tax official shall accept and immediately confirm the  receipt of a communication delivered electronically to the official by a property owner.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comptroller by rule shall prescribe acceptable application forms, media, formats, content, and methods for the electronic delivery of communications under this section.  The comptroller shall adopt rules for the efficient implementation of this section which must be followed by all tax officials.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appraisal review board order,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Owner" means the owner of multi-family residential, commercial, industrial or utility property and includes a person designated by the property owner under Section 1.111(f)or an attorney for the property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"Tax official"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chief appraiser, an appraisal district, an appraisal review board, an assessor, a collector, or a taxing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designated by a person listed in Paragraph (A) to perform a function on behalf of that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for counties with a population of 120,000 or more, and takes effect January 1, 2025 for counties with a population less than 120,000.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