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88R5920 JES-F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1320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recovery under uninsured and underinsured motorist insurance coverage.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1952, Insurance Code, is amended by adding Sections 1952.1061, 1952.1062, and 1952.1063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1952.1061.</w:t>
      </w:r>
      <w:r>
        <w:rPr>
          <w:u w:val="single"/>
        </w:rPr>
        <w:t xml:space="preserve"> </w:t>
      </w:r>
      <w:r>
        <w:rPr>
          <w:u w:val="single"/>
        </w:rPr>
        <w:t xml:space="preserve"> </w:t>
      </w:r>
      <w:r>
        <w:rPr>
          <w:u w:val="single"/>
        </w:rPr>
        <w:t xml:space="preserve">NOTICE OF CLAIM FOR UNFAIR SETTLEMENT PRACTICE.  For the purpose of Section 541.060, an insured may provide notice of a claim for uninsured or underinsured motorist coverage by providing a written notification to the insurer that reasonably informs the insurer of the facts of the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1952.1062.</w:t>
      </w:r>
      <w:r>
        <w:rPr>
          <w:u w:val="single"/>
        </w:rPr>
        <w:t xml:space="preserve"> </w:t>
      </w:r>
      <w:r>
        <w:rPr>
          <w:u w:val="single"/>
        </w:rPr>
        <w:t xml:space="preserve"> </w:t>
      </w:r>
      <w:r>
        <w:rPr>
          <w:u w:val="single"/>
        </w:rPr>
        <w:t xml:space="preserve">LEGAL DETERMINATION NOT PREREQUISITE TO RECOVERY FOR UNFAIR SETTLEMENT PRACTICE.  A judgment or other legal determination establishing the other motorist's liability or the extent of the insured's damages is not a prerequisite to recovery in an action under Section 541.151 for a violation of Section 541.060 with respect to an uninsured or underinsured motorist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1952.1063.</w:t>
      </w:r>
      <w:r>
        <w:rPr>
          <w:u w:val="single"/>
        </w:rPr>
        <w:t xml:space="preserve"> </w:t>
      </w:r>
      <w:r>
        <w:rPr>
          <w:u w:val="single"/>
        </w:rPr>
        <w:t xml:space="preserve"> </w:t>
      </w:r>
      <w:r>
        <w:rPr>
          <w:u w:val="single"/>
        </w:rPr>
        <w:t xml:space="preserve">LIMITATION ON EXTRACONTRACTUAL CAUSES OF ACTION.  In regard to a claim for uninsured or underinsured motorist coverage, the only extracontractual cause of action available to an insured is provided by Section 541.151 to recover damages under Section 541.152 for a violation of Section 541.060.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this section, the change in law made by this Act applies only to a cause of action that accrues on or after the effective date of this Act. </w:t>
      </w:r>
      <w:r>
        <w:t xml:space="preserve"> </w:t>
      </w:r>
      <w:r>
        <w:t xml:space="preserve">A cause of action that accrues before the effective date of this Act is governed by the law in effect immediately before that date,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does not affect the enforceability of any provision in an insurance policy delivered, issued for delivery, or renewed before January 1, 2024, that conflicts with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