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1322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coordination of vision and eye care benefits under certain insurance policies and vision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plan" means an insurance policy, vision benefit plan, or vision discount plan described by Section 1203.102.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"Benefit plan provider" means an insurer or other person or entity described by Section 1203.102 that issues or provides a benefit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an insurance policy, vision benefit plan, or vision discount plan that provides or arranges for benefits for vision or medical eye care services, procedures, or products, including an individual, group, blanket, or franchise insurance policy or insurance agreement, a group hospital service contract, a vision benefit plan, or a vision discount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or entity that provides a vision benefit or vision discount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COORDINATION OF BENEFITS BETWEEN MULTIPLE PLANS. </w:t>
      </w:r>
      <w:r>
        <w:rPr>
          <w:u w:val="single"/>
        </w:rPr>
        <w:t xml:space="preserve"> </w:t>
      </w:r>
      <w:r>
        <w:rPr>
          <w:u w:val="single"/>
        </w:rPr>
        <w:t xml:space="preserve">(a) </w:t>
      </w:r>
      <w:r>
        <w:rPr>
          <w:u w:val="single"/>
        </w:rPr>
        <w:t xml:space="preserve"> </w:t>
      </w:r>
      <w:r>
        <w:rPr>
          <w:u w:val="single"/>
        </w:rPr>
        <w:t xml:space="preserve">This section applies if a benefit plan enrollee is covered by at least two different benefit plans that provide benefits for eye care expenses.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benefit plan provider to whom a claim for reimbursement for eye care expenses is initially submitted shall reimburse for all eye care expenses covered under the plan up to the full amount of any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benefit plan provider to whom a claim for reimbursement for eye care expenses is subsequently submitted shall reimburse for all eye care expenses covered under the plan that are not reimbursed by a benefit plan provider to whom a claim for reimbursement was previously submitted.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benefit plan provider shall provide a summary of eye care expenses accepted and denied under the plan to the enrollee and the practitioner who provided the eye care services. </w:t>
      </w:r>
      <w:r>
        <w:rPr>
          <w:u w:val="single"/>
        </w:rPr>
        <w:t xml:space="preserve"> </w:t>
      </w:r>
      <w:r>
        <w:rPr>
          <w:u w:val="single"/>
        </w:rPr>
        <w:t xml:space="preserve">The summary must be accessible online to the enrollee and the practitioner.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benefit plan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benefit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VOID.  A provision of a benefit plan that violates this subchapter is void.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vision benefit plan, or vision discount plan that is delivered, issued for delivery, or renewed on or after January 1, 2024. </w:t>
      </w:r>
      <w:r>
        <w:t xml:space="preserve"> </w:t>
      </w:r>
      <w:r>
        <w:t xml:space="preserve">A policy or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