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88R3518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1328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optional blood type designation on a driver's license, personal identification certificate, or commercial driver's license or learner's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521, Transportation Code, is amended by adding Section 521.1251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521.1251.</w:t>
      </w:r>
      <w:r>
        <w:rPr>
          <w:u w:val="single"/>
        </w:rPr>
        <w:t xml:space="preserve"> </w:t>
      </w:r>
      <w:r>
        <w:rPr>
          <w:u w:val="single"/>
        </w:rPr>
        <w:t xml:space="preserve"> </w:t>
      </w:r>
      <w:r>
        <w:rPr>
          <w:u w:val="single"/>
        </w:rPr>
        <w:t xml:space="preserve">OPTIONAL BLOOD TYPE DESIGNATION.  (a)  The department shall provide to each applicant for the issuance of an original, renewal, corrected, or duplicate driver's license or personal identification certificate who applies in person, by mail, over the Internet, or by other electronic means the opportunity to indicate the person's blood type on the person's driver's license or personal identification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include on each driver's license issued to a person who makes an election under this section a designation that indicates the person's blood type.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522.030,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provide to each applicant for the issuance of an original, renewal, corrected, or duplicate commercial driver's license or commercial learner's permit who applies in person, by mail, over the Internet, or by other electronic means the opportunity to indicate the person's blood type on the person's commercial driver's license or commercial learner's permit.  The department shall include on each commercial driver's license or commercial learner's permit issued to a person who makes an election under this subsection a designation that indicates the person's blood type.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