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88R4199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1334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cultural inclusion curriculum as part of the enrichment curriculum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and geography;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w:t>
      </w:r>
      <w:r>
        <w:rPr>
          <w:strike/>
        </w:rPr>
        <w:t xml:space="preserve">and</w:t>
      </w:r>
      <w:r>
        <w:t xml:space="preserve">]</w:t>
      </w:r>
    </w:p>
    <w:p w:rsidR="003F3435" w:rsidRDefault="0032493E">
      <w:pPr>
        <w:spacing w:line="480" w:lineRule="auto"/>
        <w:ind w:firstLine="2160"/>
        <w:jc w:val="both"/>
      </w:pPr>
      <w:r>
        <w:t xml:space="preserve">(H)</w:t>
      </w:r>
      <w:r xml:space="preserve">
        <w:t> </w:t>
      </w:r>
      <w:r xml:space="preserve">
        <w:t> </w:t>
      </w:r>
      <w:r>
        <w:t xml:space="preserve">personal financial literacy</w:t>
      </w:r>
      <w:r>
        <w:rPr>
          <w:u w:val="single"/>
        </w:rPr>
        <w:t xml:space="preserv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cultural inclusion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28.0029.</w:t>
      </w:r>
      <w:r>
        <w:rPr>
          <w:u w:val="single"/>
        </w:rPr>
        <w:t xml:space="preserve"> </w:t>
      </w:r>
      <w:r>
        <w:rPr>
          <w:u w:val="single"/>
        </w:rPr>
        <w:t xml:space="preserve"> </w:t>
      </w:r>
      <w:r>
        <w:rPr>
          <w:u w:val="single"/>
        </w:rPr>
        <w:t xml:space="preserve">CULTURAL INCLUSION CURRICULUM.  (a) The State Board of Education shall develop curriculum on cultural inclusivity that a school district or open-enrollment charter school shall use in the district's or school's cultural inclusivity courses.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curriculum must encourage: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sense of self;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acceptance of diversity through the identification and exploration of differences;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critical thinking about bias through the identification and exploration of discrimination and stereotypes;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empathy toward others;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advocating for oneself in the face of bias.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curriculum under this section, the State Board of Education shall consult with the agency and appropriate stakeholders and may create a work group of volunteers to make recommendations regarding the curriculum.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the agency, and appropriate stakeholders shall enter into a memorandum of understanding that establishes each entity's respective responsibilities in developing cultural inclusion curriculum that reflects the cultural, linguistic, and religious diversity of society.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finalizing the curriculum developed under this section, the State Board of Education shall provide a reasonable period for public comment.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rules adopted by the State Board of Education, a school district or open-enrollment charter school may tailor the curriculum developed under this section as appropriate for the district's or school's community. In tailoring the instruction, the district or school shall solicit input from the State Board of Education, the agency, community members, and other interested individuals or organizations.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