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88R935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an increase in the rent of a tenant residing in a development supported with a low income housing tax credit allocation.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2306.6738(a),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Notwithstanding any other law, a development owner of a development supported with a housing tax credit allocation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lock out or threaten to lock out any person residing in the development except by judicial process unless the exclusion results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necessity to perform bona fide repairs or construction work;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emergency;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seize or threaten to seize the personal property of any person residing in the development except by judicial process unless the resident has abandoned the premises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under the terms of a voucher program under Section 8, United States Housing Act of 1937 (42 U.S.C. Section 1437f), or a similar rental subsidy program, increase the rent paid by a person residing in the development during the duration of the person's lease agreement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2306.6738, Government Code, as amended by this Act, applies to a lease agreement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