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88R24586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 Plesa</w:t>
      </w:r>
      <w:r xml:space="preserve">
        <w:tab wTab="150" tlc="none" cTlc="0"/>
      </w:r>
      <w:r>
        <w:t xml:space="preserve">H.B.</w:t>
      </w:r>
      <w:r xml:space="preserve">
        <w:t> </w:t>
      </w:r>
      <w:r>
        <w:t xml:space="preserve">No.</w:t>
      </w:r>
      <w:r xml:space="preserve">
        <w:t> </w:t>
      </w:r>
      <w:r>
        <w:t xml:space="preserve">1351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1351:</w:t>
      </w: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C.S.H.B.</w:t>
      </w:r>
      <w:r xml:space="preserve">
        <w:t> </w:t>
      </w:r>
      <w:r>
        <w:t xml:space="preserve">No.</w:t>
      </w:r>
      <w:r xml:space="preserve">
        <w:t> </w:t>
      </w:r>
      <w:r>
        <w:t xml:space="preserve">1351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of funds designated for the low-income vehicle repair assistance, retrofit, and accelerated vehicle retirement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382, Health and Safety Code, is amended by adding Section 382.221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382.221.</w:t>
      </w:r>
      <w:r>
        <w:rPr>
          <w:u w:val="single"/>
        </w:rPr>
        <w:t xml:space="preserve"> </w:t>
      </w:r>
      <w:r>
        <w:rPr>
          <w:u w:val="single"/>
        </w:rPr>
        <w:t xml:space="preserve"> </w:t>
      </w:r>
      <w:r>
        <w:rPr>
          <w:u w:val="single"/>
        </w:rPr>
        <w:t xml:space="preserve">DISTRIBUTION OF LOW-INCOME VEHICLE REPAIR ASSISTANCE, RETROFIT, AND ACCELERATED VEHICLE RETIREMENT PROGRAM FUNDS.  (a)  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was a participating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remitted to the state fees collected for the low-income vehicle repair assistance, retrofit, and accelerated vehicle retirement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382.202(g), 382.209, and 382.220, not later than January 1, 2024, the commission shall distribute to the counties described by Subsection (a) all available money collected before September 1, 2023, under Section 382.202(e) or 382.302 that was designated for the low-income vehicle repair assistance, retrofit, and accelerated vehicle retirement program and is appropriated by the legislature for the purposes described by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distribute the money in reasonable proportion to the amount of fees collected under Section 382.202(e) or 382.302 in those counties or in the regions in which those counties are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that receives money under this section may use the money only to fund a program authorized by Section 382.220(b).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