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88R6593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content of a public school campus improvement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11.253(d),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campus improvement plan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 the academic achievement for each student in the school using the achievement indicator system as described by Section 39.053;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set the campus performance objectives based on the achievement indicator system, including objectives for special needs populations, including students in special education programs under Subchapter A, Chapter 29;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identify how the campus goals will be met for each student;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determine the resources needed to implement the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identify staff needed to implement the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set timelines for reaching the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measure progress toward the performance objectives periodically to ensure that the plan is resulting in academic improvement;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goals and methods for violence </w:t>
      </w:r>
      <w:r>
        <w:rPr>
          <w:u w:val="single"/>
        </w:rPr>
        <w:t xml:space="preserve">and bullying</w:t>
      </w:r>
      <w:r>
        <w:t xml:space="preserve"> prevention and intervention on campus </w:t>
      </w:r>
      <w:r>
        <w:rPr>
          <w:u w:val="single"/>
        </w:rPr>
        <w:t xml:space="preserve">and for dropout deterrence, including providing a research-based teacher development program that provides teachers continuing education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creating a nurturing classroom environment;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developing respectful and caring relationships with students;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promoting student emotional health by providing strategies to help students feel valued;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empathetic teaching techniques that may be used to discipline a student's behavior while showing respect and care for the student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provide for a program to encourage parental involvement at the campus </w:t>
      </w:r>
      <w:r>
        <w:rPr>
          <w:u w:val="single"/>
        </w:rPr>
        <w:t xml:space="preserve">that may include evidence-based materials or training for parents that focus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instilling a positive self-concept in children;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resilience in children;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respectful, positive discipline to children at home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if the campus is an elementary, middle, or junior high school, set goals and objectives for the coordinated health program at the campus based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student fitness assessment data, including any data from research-based assessments such as the school health index assessment and planning tool created by the federal Centers for Disease Control and Prevention;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student academic performance data;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student attendance rates;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percentage of students who are educationally disadvantaged;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use and success of any method to ensure that students participate in moderate to vigorous physical activity as required by Section 28.002(l);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any other indicator recommended by the local school health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