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88R6035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online posting of certain environmental and water use permit applications.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5, Water Code, is amended by adding Section 5.559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5.559.</w:t>
      </w:r>
      <w:r>
        <w:rPr>
          <w:u w:val="single"/>
        </w:rPr>
        <w:t xml:space="preserve"> </w:t>
      </w:r>
      <w:r>
        <w:rPr>
          <w:u w:val="single"/>
        </w:rPr>
        <w:t xml:space="preserve"> </w:t>
      </w:r>
      <w:r>
        <w:rPr>
          <w:u w:val="single"/>
        </w:rPr>
        <w:t xml:space="preserve">INTERNET WEBSITE POSTING OF APPLICATION.  After an application is determined to be administratively complete, the applicant or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a publicly accessible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subsequent revision or supplement to the application as the revision or supplement becomes available;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commission takes final action on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posting on the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address of the Internet website in any public notice the applicant or commission provides, as applicable, including under Section 5.552 or 5.553.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11.159.</w:t>
      </w:r>
      <w:r>
        <w:rPr>
          <w:u w:val="single"/>
        </w:rPr>
        <w:t xml:space="preserve"> </w:t>
      </w:r>
      <w:r>
        <w:rPr>
          <w:u w:val="single"/>
        </w:rPr>
        <w:t xml:space="preserve"> </w:t>
      </w:r>
      <w:r>
        <w:rPr>
          <w:u w:val="single"/>
        </w:rPr>
        <w:t xml:space="preserve">INTERNET WEBSITE POSTING OF APPLICATION.  After an application is determined to be administratively complete, the applicant or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a publicly accessible Internet website: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the map, and any supporting materials required by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subsequent revision or supplement to the application as the revision or supplement becomes available;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commission takes final action on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posting;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address of the Internet website in any public notice the applicant or commission provides, as applicable, including under Section 11.132.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received by the Texas Commission on Environmental Quality on or after the effective date of this Act.  An application received before the effective date of this Act is governed by the law in effect on the date the application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