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 et al.</w:t>
      </w:r>
      <w:r>
        <w:t xml:space="preserve"> (Senate Sponsor</w:t>
      </w:r>
      <w:r xml:space="preserve">
        <w:t> </w:t>
      </w:r>
      <w:r>
        <w:t xml:space="preserve">-</w:t>
      </w:r>
      <w:r xml:space="preserve">
        <w:t> </w:t>
      </w:r>
      <w:r>
        <w:t xml:space="preserve">Eckhardt)</w:t>
      </w:r>
      <w:r xml:space="preserve">
        <w:tab wTab="150" tlc="none" cTlc="0"/>
      </w:r>
      <w:r>
        <w:t xml:space="preserve">H.B.</w:t>
      </w:r>
      <w:r xml:space="preserve">
        <w:t> </w:t>
      </w:r>
      <w:r>
        <w:t xml:space="preserve">No.</w:t>
      </w:r>
      <w:r xml:space="preserve">
        <w:t> </w:t>
      </w:r>
      <w:r>
        <w:t xml:space="preserve">1361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4,</w:t>
      </w:r>
      <w:r xml:space="preserve">
        <w:t> </w:t>
      </w:r>
      <w:r>
        <w:t xml:space="preserve">2023, read first time and referred to Subcommittee on Higher Education; May</w:t>
      </w:r>
      <w:r xml:space="preserve">
        <w:t> </w:t>
      </w:r>
      <w:r>
        <w:t xml:space="preserve">19,</w:t>
      </w:r>
      <w:r xml:space="preserve">
        <w:t> </w:t>
      </w:r>
      <w:r>
        <w:t xml:space="preserve">2023, reported adversely, with favorable Committee Substitute from Committee on Education by the following vote:</w:t>
      </w:r>
      <w:r>
        <w:t xml:space="preserve"> </w:t>
      </w:r>
      <w:r>
        <w:t xml:space="preserve"> </w:t>
      </w:r>
      <w:r>
        <w:t xml:space="preserve">Yeas 13,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1361</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liaison officers to assist certain students at public institutions of higher education who are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51.9357.</w:t>
      </w:r>
      <w:r>
        <w:rPr>
          <w:u w:val="single"/>
        </w:rPr>
        <w:t xml:space="preserve"> </w:t>
      </w:r>
      <w:r>
        <w:rPr>
          <w:u w:val="single"/>
        </w:rPr>
        <w:t xml:space="preserve"> </w:t>
      </w:r>
      <w:r>
        <w:rPr>
          <w:u w:val="single"/>
        </w:rPr>
        <w:t xml:space="preserve">DESIGNATION OF LIAISON OFFICER TO ASSIST CERTAIN STUDENTS WHO ARE PARENTS; REPORT.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designate at least one employee of the institution to act as a liaison officer for current or incoming students at the institution who are the parent or guardian of a child younger than 18 years of age. </w:t>
      </w:r>
      <w:r>
        <w:rPr>
          <w:u w:val="single"/>
        </w:rPr>
        <w:t xml:space="preserve"> </w:t>
      </w:r>
      <w:r>
        <w:rPr>
          <w:u w:val="single"/>
        </w:rPr>
        <w:t xml:space="preserve">The liaison officer shall provide to the students information regarding support services and other resources available to the students at the institution,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and behavioral health coverage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benefit programs, including programs related to food security, affordable housing, and housing subsidies;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and child care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student academic success strategies;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resources developed by the institution to assist the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May 1 of each academic year, an institution of higher education shall submit to the coordinating board a report that contains the following information regarding students enrolled at the institution for the current academic year who are the parent or guardian of a child younger than 18 years of 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those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data, including age, race, sex, and ethnicity;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academic data, including full-time or part-time enrollment status and graduation, transfer, and withdrawal rates;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data as prescribed by coordinating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Texas Higher Education Coordinating Board shall adopt rules to implement Section 51.9357, Education Code, as added by this Act.</w:t>
      </w:r>
    </w:p>
    <w:p w:rsidR="003F3435" w:rsidRDefault="0032493E">
      <w:pPr>
        <w:spacing w:line="480" w:lineRule="auto"/>
        <w:ind w:firstLine="720"/>
        <w:jc w:val="both"/>
      </w:pPr>
      <w:r>
        <w:t xml:space="preserve">(b)</w:t>
      </w:r>
      <w:r xml:space="preserve">
        <w:t> </w:t>
      </w:r>
      <w:r xml:space="preserve">
        <w:t> </w:t>
      </w:r>
      <w:r>
        <w:t xml:space="preserve">This Act applies beginning with the 2023-2024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