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88R5914 LRM-F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1366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criminal background check requirements for judges to access vital records maintained by the Department of State Health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191.071(b),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may adopt a policy waiving the requirement of a fingerprint-based background check for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person who previously submitted to a fingerprint-based background check as a condition of licensure by a state agency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serving as a judge or justice of the supreme court, the court of criminal appeals, a court of appeals, a district court, a criminal district court, a constitutional county court, a statutory county court, a justice court, or a municipal court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