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88R19694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et al.</w:t>
      </w:r>
      <w:r xml:space="preserve">
        <w:tab wTab="150" tlc="none" cTlc="0"/>
      </w:r>
      <w:r>
        <w:t xml:space="preserve">H.B.</w:t>
      </w:r>
      <w:r xml:space="preserve">
        <w:t> </w:t>
      </w:r>
      <w:r>
        <w:t xml:space="preserve">No.</w:t>
      </w:r>
      <w:r xml:space="preserve">
        <w:t> </w:t>
      </w:r>
      <w:r>
        <w:t xml:space="preserve">1372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1372:</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1372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tort of public nuisance.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100C to read as follows:</w:t>
      </w:r>
    </w:p>
    <w:p w:rsidR="003F3435" w:rsidRDefault="0032493E">
      <w:pPr>
        <w:spacing w:line="480" w:lineRule="auto"/>
        <w:jc w:val="center"/>
      </w:pPr>
      <w:r>
        <w:rPr>
          <w:u w:val="single"/>
        </w:rPr>
        <w:t xml:space="preserve">CHAPTER 100C.  PUBLIC NUISANCE CLAIMS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100C.001.</w:t>
      </w:r>
      <w:r>
        <w:rPr>
          <w:u w:val="single"/>
        </w:rPr>
        <w:t xml:space="preserve"> </w:t>
      </w:r>
      <w:r>
        <w:rPr>
          <w:u w:val="single"/>
        </w:rPr>
        <w:t xml:space="preserve"> </w:t>
      </w:r>
      <w:r>
        <w:rPr>
          <w:u w:val="single"/>
        </w:rPr>
        <w:t xml:space="preserve">DEFINITION.  In this chapter, "public nuisance claim"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assertion in a civil action of an injury caused to the public under the common law tort of public nuisance;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in a civil action to recover damages, abatement, or other relief under the common law tort of public nuisance.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100C.002.</w:t>
      </w:r>
      <w:r>
        <w:rPr>
          <w:u w:val="single"/>
        </w:rPr>
        <w:t xml:space="preserve"> </w:t>
      </w:r>
      <w:r>
        <w:rPr>
          <w:u w:val="single"/>
        </w:rPr>
        <w:t xml:space="preserve"> </w:t>
      </w:r>
      <w:r>
        <w:rPr>
          <w:u w:val="single"/>
        </w:rPr>
        <w:t xml:space="preserve">LIMITATIONS ON CLAIM.  (a)  A public nuisance claim is not cognizable in this state if it seeks relief arising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or condition authorized, licensed, approved, or mandated by a statute, ordinance, regulation, permit, order, rule, or other similar measure issued, adopted, promulgated, or approved by the federal government, a federal agency, this state, or an agency or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condition that occurs or exists in a context where a statutory cause of action or administrative enforcement mechanism already exists to address conduct that is injurious to the public;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product or the manufacturing, distributing, selling, labeling, or marketing of a product, regardless of whether the product is defective.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aggregation of multiple injuries to individuals or of private nuisances does not constitute a public nuisance or give rise to a public nuisance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limit a claimant from obtaining relief provided by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100C.003.</w:t>
      </w:r>
      <w:r>
        <w:rPr>
          <w:u w:val="single"/>
        </w:rPr>
        <w:t xml:space="preserve"> </w:t>
      </w:r>
      <w:r>
        <w:rPr>
          <w:u w:val="single"/>
        </w:rPr>
        <w:t xml:space="preserve"> </w:t>
      </w:r>
      <w:r>
        <w:rPr>
          <w:u w:val="single"/>
        </w:rPr>
        <w:t xml:space="preserve">RELATIONSHIP TO COMMON LAW.  To the extent of a conflict between this chapter and common law, this chapter controls.  Otherwise, this chapter supplements the common law of public nuisance, both as to the claim and defenses.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100C,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