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88R6511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1372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tort of public nuisance.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100C to read as follows:</w:t>
      </w:r>
    </w:p>
    <w:p w:rsidR="003F3435" w:rsidRDefault="0032493E">
      <w:pPr>
        <w:spacing w:line="480" w:lineRule="auto"/>
        <w:jc w:val="center"/>
      </w:pPr>
      <w:r>
        <w:rPr>
          <w:u w:val="single"/>
        </w:rPr>
        <w:t xml:space="preserve">CHAPTER 100C.  PUBLIC NUISANCE ACTIONS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100C.001.</w:t>
      </w:r>
      <w:r>
        <w:rPr>
          <w:u w:val="single"/>
        </w:rPr>
        <w:t xml:space="preserve"> </w:t>
      </w:r>
      <w:r>
        <w:rPr>
          <w:u w:val="single"/>
        </w:rPr>
        <w:t xml:space="preserve"> </w:t>
      </w:r>
      <w:r>
        <w:rPr>
          <w:u w:val="single"/>
        </w:rPr>
        <w:t xml:space="preserve">DEFINITION.  In this chapter, "public nuisance action" means an action asserting a cause of action cognizable as the tort of public nuisance.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100C.002.</w:t>
      </w:r>
      <w:r>
        <w:rPr>
          <w:u w:val="single"/>
        </w:rPr>
        <w:t xml:space="preserve"> </w:t>
      </w:r>
      <w:r>
        <w:rPr>
          <w:u w:val="single"/>
        </w:rPr>
        <w:t xml:space="preserve"> </w:t>
      </w:r>
      <w:r>
        <w:rPr>
          <w:u w:val="single"/>
        </w:rPr>
        <w:t xml:space="preserve">LIMITATIONS ON CAUSE OF ACTION.  The following claims, actions, or conditions do not constitute or give rise to a cause of action cognizable as the tort of public nuisance: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or condition authorized, approved, or mandated by a court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or condition authorized, approved, or mandated by a statute, ordinance, regulation, permit, order, rule, or other similar measure issued, adopted, promulgated, or approved by the federal government, a federal agency, a state, a state agency, or a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claim that a product endangers the health, safety, or welfare of the public at large or has caused injury to one or more members of the public;</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claim based on the manufacturing, distributing, selling, labeling, or marketing of a product, regardless of whether the product is defective;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claim, action, or condition determined by common law to not constitute or give rise to a cause of action cognizable as the tort of public nuisance.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100C.003.</w:t>
      </w:r>
      <w:r>
        <w:rPr>
          <w:u w:val="single"/>
        </w:rPr>
        <w:t xml:space="preserve"> </w:t>
      </w:r>
      <w:r>
        <w:rPr>
          <w:u w:val="single"/>
        </w:rPr>
        <w:t xml:space="preserve"> </w:t>
      </w:r>
      <w:r>
        <w:rPr>
          <w:u w:val="single"/>
        </w:rPr>
        <w:t xml:space="preserve">RELIEF AVAILABLE TO GOVERNMENTAL ENTITY; STANDING.  (a)  In a public nuisance action brought by the state, a state agency, or a political subdivision of this state, the remedies available to the governmental entity are limited to an injunction and any other relief that is available at law to abate the nuisance.  A governmental entity may not recover economic, noneconomic, or exemplary damages, as those terms are defined by Section 41.001.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limit a governmental entity from obtaining relief provided by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financial expenditure made by the state or a political subdivision of this state related to the remediation, abatement, or injunction of an unlawful condition does not constitute an injury sufficient to confer standing to file or maintain a public nuisance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100C.004.</w:t>
      </w:r>
      <w:r>
        <w:rPr>
          <w:u w:val="single"/>
        </w:rPr>
        <w:t xml:space="preserve"> </w:t>
      </w:r>
      <w:r>
        <w:rPr>
          <w:u w:val="single"/>
        </w:rPr>
        <w:t xml:space="preserve"> </w:t>
      </w:r>
      <w:r>
        <w:rPr>
          <w:u w:val="single"/>
        </w:rPr>
        <w:t xml:space="preserve">PUBLIC NUISANCE ACTION BY PRIVATE CITIZEN.  An individual may bring a public nuisance action only for compensatory damages and only for an injury caused to the individual by the nuisance that is different in kind, not just in degree, from an injury suffered by the public at large.  Interference with the use of or damage to public land, air, or water with only personal, spiritual, cultural, or emotional significance to the individual does not constitute or give rise to a cause of action cognizable as the tort of public nuisance.  The aggregation of multiple individual injuries or private nuisances does not constitute violation of an established public right for purposes of a public nuisance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100C,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