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88R6396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1380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for barbers and cosmetologists on identifying and assisting victims of sexual assault, domestic violence, and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1603, Occupations Code, is amended by adding Section 1603.302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1603.302.</w:t>
      </w:r>
      <w:r>
        <w:rPr>
          <w:u w:val="single"/>
        </w:rPr>
        <w:t xml:space="preserve"> </w:t>
      </w:r>
      <w:r>
        <w:rPr>
          <w:u w:val="single"/>
        </w:rPr>
        <w:t xml:space="preserve"> </w:t>
      </w:r>
      <w:r>
        <w:rPr>
          <w:u w:val="single"/>
        </w:rPr>
        <w:t xml:space="preserve">CONTINUING EDUCATION REGARDING SEXUAL ASSAULT, DOMESTIC VIOLENCE, AND HUMAN TRAFFICKING.  The commission shall adopt rules requiring a license holder to complete continuing education on identifying and assisting victims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sexual assault;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domestic violence;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human trafficking.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of Licensing and Regulation shall adopt the rules required by Section 1603.302,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