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88R4146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hearing requirement for a preliminary zoning report made by a zoning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211.007(b),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zoning commission shall make a preliminary report and hold </w:t>
      </w:r>
      <w:r>
        <w:rPr>
          <w:u w:val="single"/>
        </w:rPr>
        <w:t xml:space="preserve">at least one</w:t>
      </w:r>
      <w:r>
        <w:t xml:space="preserve"> public </w:t>
      </w:r>
      <w:r>
        <w:rPr>
          <w:u w:val="single"/>
        </w:rPr>
        <w:t xml:space="preserve">hearing</w:t>
      </w:r>
      <w:r>
        <w:t xml:space="preserve"> [</w:t>
      </w:r>
      <w:r>
        <w:rPr>
          <w:strike/>
        </w:rPr>
        <w:t xml:space="preserve">hearings</w:t>
      </w:r>
      <w:r>
        <w:t xml:space="preserve">] on that report before submitting a final report to the governing body. </w:t>
      </w:r>
      <w:r>
        <w:t xml:space="preserve"> </w:t>
      </w:r>
      <w:r>
        <w:t xml:space="preserve">The governing body may not hold a public hearing until it receives the final report of the zoning commission unless the governing body by ordinance provides that a public hearing is to be held, after the notice required by Section 211.006(a), jointly with a public hearing required to be held by the zoning commission. </w:t>
      </w:r>
      <w:r>
        <w:t xml:space="preserve"> </w:t>
      </w:r>
      <w:r>
        <w:t xml:space="preserve">In either case, the governing body may not take action on the matter until it receives the final report of the zoning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proposal to change a municipal zoning classification made on or after the effective date of this Act. </w:t>
      </w:r>
      <w:r>
        <w:t xml:space="preserve"> </w:t>
      </w:r>
      <w:r>
        <w:t xml:space="preserve">A proposal to change a municipal zoning classification made before the effective date of this Act is governed by the law in effect on the date the proposal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