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1382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of a judgment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apply to a sale of real property conducted under Section 51.002, Property Code.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1382 was passed by the House on April 11,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1382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