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88R6661 MEW/BEE-D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1390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telemedicine medical services and telehealth services covered by certain health benefit plans or provided by a pharmacist.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w:t>
      </w:r>
      <w:r>
        <w:rPr>
          <w:u w:val="single"/>
        </w:rPr>
        <w:t xml:space="preserve">, including a mental health professional,</w:t>
      </w:r>
      <w:r>
        <w:t xml:space="preserve"> </w:t>
      </w:r>
      <w:r>
        <w:t xml:space="preserve">acting within the scope of the license or certification who does not perform a telemedicine medical service or a teledentistry dental service;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 dentist</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individual who is credentialed to provide qualified mental health professional community services, has demonstrated and documented competency in the work to be performed,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a bachelor's or more advanced degree from an accredited institution of higher education with a minimum number of hours that is equivalent to a major in psychology, social work, medicine, nursing, rehabilitation, counseling, sociology, human growth and development, physician assistant studies, gerontology, special education, educational psychology, early childhood education, or early childhood intervention;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registered nurse;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completes an alternative credentialing process identified by the Health and Human Services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554.005,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implementing Subsection (a)(3)(C)(iv), the board may not require the in-person counseling of patients.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1455, Insurance Code, as amended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