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community recovery organization peer-to-peer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531.09991.</w:t>
      </w:r>
      <w:r>
        <w:rPr>
          <w:u w:val="single"/>
        </w:rPr>
        <w:t xml:space="preserve"> </w:t>
      </w:r>
      <w:r>
        <w:rPr>
          <w:u w:val="single"/>
        </w:rPr>
        <w:t xml:space="preserve"> </w:t>
      </w:r>
      <w:r>
        <w:rPr>
          <w:u w:val="single"/>
        </w:rPr>
        <w:t xml:space="preserve">COMMUNITY RECOVERY ORGANIZATIONS.  (a)  In this section, "community recovery organization" means a nonprofit organization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mobilizes resources inside and outside of a local community to increase the prevalence and quality of long-term recovery for individuals with a substance use or mental health condition and their affected family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governed by members of the local community: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51 percent of whom identify as an individual recovering from a substance use or mental health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remainder of whom identify as an affected family member of an individual recovering from a substance use or mental health condition;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aligns with applicable national best practices recognized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to provide Medicaid reimbursement for peer-to-peer services provided by community recovery organizations,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that establish training requirements for community recovery organization peer-to-peer service providers;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rules that establish certification and supervision requirements for community recovery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rules that define the scope of peer-to-peer services that community recovery organizations may provide;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rules that distinguish peer-to-peer services provided by community recovery organizations from other services that a person must hold a license to provide;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rules necessary to protect the health and safety of individuals receiving services provided by community recovery organizations.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establish a work group to provide input for the adoption of rules under Subsection (b) and shall consider that input in adopting rules under that subsection.  The work group is composed of at least nine but not more than 13 members with expertise in substance use disorder recovery or community recovery organizations.  The executive commissioner shall ensure that at least half of the work group members are from rural communities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appoint one work group member to serve as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work group is automatically abolished on the adoption of rules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Subsections (c), (d), and (e) and this subsection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2025, Section 32.024, Human Resources Code, is amended by adding Subsection (pp) to read as follows:</w:t>
      </w:r>
    </w:p>
    <w:p w:rsidR="003F3435" w:rsidRDefault="0032493E">
      <w:pPr>
        <w:spacing w:line="480" w:lineRule="auto"/>
        <w:ind w:firstLine="720"/>
        <w:jc w:val="both"/>
      </w:pPr>
      <w:r>
        <w:rPr>
          <w:u w:val="single"/>
        </w:rPr>
        <w:t xml:space="preserve">(pp)</w:t>
      </w:r>
      <w:r>
        <w:rPr>
          <w:u w:val="single"/>
        </w:rPr>
        <w:t xml:space="preserve"> </w:t>
      </w:r>
      <w:r>
        <w:rPr>
          <w:u w:val="single"/>
        </w:rPr>
        <w:t xml:space="preserve"> </w:t>
      </w:r>
      <w:r>
        <w:rPr>
          <w:u w:val="single"/>
        </w:rPr>
        <w:t xml:space="preserve">The commission in the commission's rules and standards governing the scope of services provided under the medical assistance program shall include peer-to-peer services provided by community recovery organizations as defined by Section 531.09991, Government Code, to the extent permitted by federal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31, 2023, the executive commissioner of the Health and Human Services Commission shall establish the work group required by Section 531.09991,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2024, the executive commissioner of the Health and Human Services Commission shall adopt the rules required by Section 531.09991,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